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587E8">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_GBK" w:cs="Times New Roman"/>
          <w:color w:val="auto"/>
          <w:sz w:val="44"/>
          <w:szCs w:val="44"/>
          <w:highlight w:val="none"/>
        </w:rPr>
      </w:pPr>
    </w:p>
    <w:p w14:paraId="3D378D1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cs="Times New Roman"/>
          <w:color w:val="auto"/>
          <w:kern w:val="0"/>
          <w:sz w:val="44"/>
          <w:szCs w:val="44"/>
          <w:highlight w:val="none"/>
          <w:lang w:val="en-US" w:eastAsia="zh-CN"/>
        </w:rPr>
      </w:pPr>
      <w:r>
        <w:rPr>
          <w:rFonts w:hint="eastAsia" w:eastAsia="方正小标宋简体" w:cs="Times New Roman"/>
          <w:color w:val="auto"/>
          <w:kern w:val="0"/>
          <w:sz w:val="44"/>
          <w:szCs w:val="44"/>
          <w:highlight w:val="none"/>
          <w:lang w:eastAsia="zh-CN"/>
        </w:rPr>
        <w:t>2025年</w:t>
      </w:r>
      <w:r>
        <w:rPr>
          <w:rFonts w:hint="default" w:ascii="Times New Roman" w:hAnsi="Times New Roman" w:eastAsia="方正小标宋简体" w:cs="Times New Roman"/>
          <w:color w:val="auto"/>
          <w:kern w:val="0"/>
          <w:sz w:val="44"/>
          <w:szCs w:val="44"/>
          <w:highlight w:val="none"/>
        </w:rPr>
        <w:t>四川省政府</w:t>
      </w:r>
      <w:r>
        <w:rPr>
          <w:rFonts w:hint="eastAsia" w:eastAsia="方正小标宋简体" w:cs="Times New Roman"/>
          <w:color w:val="auto"/>
          <w:kern w:val="0"/>
          <w:sz w:val="44"/>
          <w:szCs w:val="44"/>
          <w:highlight w:val="none"/>
          <w:lang w:val="en-US" w:eastAsia="zh-CN"/>
        </w:rPr>
        <w:t>专项债券（二十五期）</w:t>
      </w:r>
    </w:p>
    <w:p w14:paraId="188CDBA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信息披露文件</w:t>
      </w:r>
    </w:p>
    <w:p w14:paraId="5FB72B38">
      <w:pPr>
        <w:keepNext w:val="0"/>
        <w:keepLines w:val="0"/>
        <w:pageBreakBefore w:val="0"/>
        <w:widowControl w:val="0"/>
        <w:kinsoku/>
        <w:wordWrap/>
        <w:overflowPunct/>
        <w:topLinePunct w:val="0"/>
        <w:autoSpaceDE/>
        <w:autoSpaceDN/>
        <w:bidi w:val="0"/>
        <w:adjustRightInd/>
        <w:snapToGrid w:val="0"/>
        <w:spacing w:line="580" w:lineRule="exact"/>
        <w:ind w:firstLine="576" w:firstLineChars="192"/>
        <w:textAlignment w:val="auto"/>
        <w:outlineLvl w:val="0"/>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 xml:space="preserve"> </w:t>
      </w:r>
    </w:p>
    <w:p w14:paraId="57E47F15">
      <w:pPr>
        <w:keepNext w:val="0"/>
        <w:keepLines w:val="0"/>
        <w:pageBreakBefore w:val="0"/>
        <w:widowControl w:val="0"/>
        <w:kinsoku/>
        <w:wordWrap/>
        <w:overflowPunct/>
        <w:topLinePunct w:val="0"/>
        <w:autoSpaceDE/>
        <w:autoSpaceDN/>
        <w:bidi w:val="0"/>
        <w:adjustRightInd/>
        <w:snapToGrid w:val="0"/>
        <w:spacing w:line="580" w:lineRule="exact"/>
        <w:ind w:firstLine="614" w:firstLineChars="192"/>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一、债券概况</w:t>
      </w:r>
    </w:p>
    <w:p w14:paraId="6B1FB05C">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（一）基本情况</w:t>
      </w:r>
    </w:p>
    <w:p w14:paraId="724E344C">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年四川省政府</w:t>
      </w:r>
      <w:r>
        <w:rPr>
          <w:rFonts w:hint="eastAsia" w:ascii="Times New Roman" w:hAnsi="Times New Roman" w:eastAsia="仿宋_GB2312" w:cs="Times New Roman"/>
          <w:color w:val="auto"/>
          <w:sz w:val="32"/>
          <w:szCs w:val="32"/>
          <w:highlight w:val="none"/>
          <w:lang w:val="en-US" w:eastAsia="zh-CN"/>
        </w:rPr>
        <w:t>专项债券（二十五期）</w:t>
      </w:r>
      <w:r>
        <w:rPr>
          <w:rFonts w:hint="default" w:ascii="Times New Roman" w:hAnsi="Times New Roman" w:eastAsia="仿宋_GB2312" w:cs="Times New Roman"/>
          <w:color w:val="auto"/>
          <w:sz w:val="32"/>
          <w:szCs w:val="32"/>
          <w:highlight w:val="none"/>
        </w:rPr>
        <w:t>发行总额</w:t>
      </w:r>
      <w:r>
        <w:rPr>
          <w:rFonts w:hint="eastAsia" w:ascii="Times New Roman" w:hAnsi="Times New Roman" w:eastAsia="仿宋_GB2312" w:cs="Times New Roman"/>
          <w:color w:val="auto"/>
          <w:sz w:val="32"/>
          <w:szCs w:val="32"/>
          <w:highlight w:val="none"/>
          <w:lang w:val="en-US" w:eastAsia="zh-CN"/>
        </w:rPr>
        <w:t>36.19亿</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品种</w:t>
      </w:r>
      <w:r>
        <w:rPr>
          <w:rFonts w:hint="default" w:ascii="Times New Roman" w:hAnsi="Times New Roman" w:eastAsia="仿宋_GB2312" w:cs="Times New Roman"/>
          <w:color w:val="auto"/>
          <w:sz w:val="32"/>
          <w:szCs w:val="32"/>
          <w:highlight w:val="none"/>
        </w:rPr>
        <w:t>为</w:t>
      </w:r>
      <w:r>
        <w:rPr>
          <w:rFonts w:hint="eastAsia" w:ascii="Times New Roman" w:hAnsi="Times New Roman" w:eastAsia="仿宋_GB2312" w:cs="Times New Roman"/>
          <w:color w:val="auto"/>
          <w:sz w:val="32"/>
          <w:szCs w:val="32"/>
          <w:highlight w:val="none"/>
          <w:lang w:val="en-US" w:eastAsia="zh-CN"/>
        </w:rPr>
        <w:t>新增</w:t>
      </w:r>
      <w:r>
        <w:rPr>
          <w:rFonts w:hint="default" w:ascii="Times New Roman" w:hAnsi="Times New Roman" w:eastAsia="仿宋_GB2312" w:cs="Times New Roman"/>
          <w:color w:val="auto"/>
          <w:sz w:val="32"/>
          <w:szCs w:val="32"/>
          <w:highlight w:val="none"/>
        </w:rPr>
        <w:t>债券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期限</w:t>
      </w:r>
      <w:r>
        <w:rPr>
          <w:rFonts w:hint="eastAsia" w:ascii="Times New Roman" w:hAnsi="Times New Roman" w:eastAsia="仿宋_GB2312" w:cs="Times New Roman"/>
          <w:color w:val="auto"/>
          <w:sz w:val="32"/>
          <w:szCs w:val="32"/>
          <w:highlight w:val="none"/>
          <w:lang w:val="en-US" w:eastAsia="zh-CN"/>
        </w:rPr>
        <w:t>为30年，债券利息按半年支付</w:t>
      </w:r>
      <w:r>
        <w:rPr>
          <w:rFonts w:hint="default" w:ascii="Times New Roman" w:hAnsi="Times New Roman" w:eastAsia="仿宋_GB2312" w:cs="Times New Roman"/>
          <w:color w:val="auto"/>
          <w:sz w:val="32"/>
          <w:szCs w:val="32"/>
          <w:highlight w:val="none"/>
        </w:rPr>
        <w:t>。债券发行后可按规定在全国银行间债券市场和证券交易所债券市场上市流通。各期债券具体情况详见《四川省财政厅关于发行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专项债券（二十五期）</w:t>
      </w:r>
      <w:r>
        <w:rPr>
          <w:rFonts w:hint="default" w:ascii="Times New Roman" w:hAnsi="Times New Roman" w:eastAsia="仿宋_GB2312" w:cs="Times New Roman"/>
          <w:color w:val="auto"/>
          <w:sz w:val="32"/>
          <w:szCs w:val="32"/>
          <w:highlight w:val="none"/>
        </w:rPr>
        <w:t>有关事项的通知》。</w:t>
      </w:r>
    </w:p>
    <w:p w14:paraId="00BD4F7B">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（二）发行方式</w:t>
      </w:r>
    </w:p>
    <w:p w14:paraId="61DBC5C7">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专项债券（二十五期）</w:t>
      </w:r>
      <w:r>
        <w:rPr>
          <w:rFonts w:hint="default" w:ascii="Times New Roman" w:hAnsi="Times New Roman" w:eastAsia="仿宋_GB2312" w:cs="Times New Roman"/>
          <w:color w:val="auto"/>
          <w:sz w:val="32"/>
          <w:szCs w:val="32"/>
          <w:highlight w:val="none"/>
        </w:rPr>
        <w:t>通过招标方式发行。</w:t>
      </w:r>
      <w:r>
        <w:rPr>
          <w:rFonts w:hint="default" w:ascii="Times New Roman" w:hAnsi="Times New Roman" w:eastAsia="仿宋_GB2312" w:cs="Times New Roman"/>
          <w:sz w:val="32"/>
          <w:szCs w:val="32"/>
          <w:highlight w:val="none"/>
        </w:rPr>
        <w:t>四川省财政厅于招标日通过财政部</w:t>
      </w:r>
      <w:r>
        <w:rPr>
          <w:rFonts w:hint="eastAsia" w:ascii="Times New Roman" w:hAnsi="Times New Roman" w:eastAsia="仿宋_GB2312" w:cs="Times New Roman"/>
          <w:sz w:val="32"/>
          <w:szCs w:val="32"/>
          <w:highlight w:val="none"/>
          <w:lang w:val="en-US" w:eastAsia="zh-CN"/>
        </w:rPr>
        <w:t>上海证券交易所</w:t>
      </w:r>
      <w:r>
        <w:rPr>
          <w:rFonts w:hint="default" w:ascii="Times New Roman" w:hAnsi="Times New Roman" w:eastAsia="仿宋_GB2312" w:cs="Times New Roman"/>
          <w:sz w:val="32"/>
          <w:szCs w:val="32"/>
          <w:highlight w:val="none"/>
        </w:rPr>
        <w:t>政府债券发行系统组织招投标工作，</w:t>
      </w:r>
      <w:r>
        <w:rPr>
          <w:rFonts w:hint="default" w:ascii="Times New Roman" w:hAnsi="Times New Roman" w:eastAsia="仿宋_GB2312" w:cs="Times New Roman"/>
          <w:color w:val="auto"/>
          <w:sz w:val="32"/>
          <w:szCs w:val="32"/>
          <w:highlight w:val="none"/>
        </w:rPr>
        <w:t>参与机构为</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年四川省政府债券承销团成员。招标发行具体安排详见四川省财政厅《关于印发〈四川省政府债券公开招标发行与兑付管理办法〉的通知》《关于印发〈四川省政府债券招标发行规则〉的通知》《关于发行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专项债券（二十五期）</w:t>
      </w:r>
      <w:r>
        <w:rPr>
          <w:rFonts w:hint="default" w:ascii="Times New Roman" w:hAnsi="Times New Roman" w:eastAsia="仿宋_GB2312" w:cs="Times New Roman"/>
          <w:color w:val="auto"/>
          <w:sz w:val="32"/>
          <w:szCs w:val="32"/>
          <w:highlight w:val="none"/>
        </w:rPr>
        <w:t>有关事项的通知》等。</w:t>
      </w:r>
    </w:p>
    <w:p w14:paraId="7D3A4DCA">
      <w:pPr>
        <w:pStyle w:val="4"/>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募集资金投向说明</w:t>
      </w:r>
    </w:p>
    <w:p w14:paraId="41B280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cs="Times New Roman"/>
          <w:sz w:val="32"/>
          <w:szCs w:val="32"/>
          <w:highlight w:val="none"/>
          <w:u w:val="none"/>
          <w:lang w:val="en-US" w:eastAsia="zh-CN"/>
        </w:rPr>
      </w:pPr>
      <w:r>
        <w:rPr>
          <w:rFonts w:hint="eastAsia" w:cs="Times New Roman"/>
          <w:sz w:val="32"/>
          <w:szCs w:val="32"/>
          <w:highlight w:val="none"/>
          <w:u w:val="none"/>
          <w:lang w:val="en-US" w:eastAsia="zh-CN"/>
        </w:rPr>
        <w:t>按照财政部要求，专项债券纳入政府性基金预算管理。本批新增专项债券项目情况详见附件。</w:t>
      </w:r>
    </w:p>
    <w:p w14:paraId="20CE99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二、信用评级情况</w:t>
      </w:r>
    </w:p>
    <w:p w14:paraId="4066235F">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有限公司综合评定，</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专项债券（二十五期）</w:t>
      </w:r>
      <w:r>
        <w:rPr>
          <w:rFonts w:hint="default" w:ascii="Times New Roman" w:hAnsi="Times New Roman" w:eastAsia="仿宋_GB2312" w:cs="Times New Roman"/>
          <w:color w:val="auto"/>
          <w:sz w:val="32"/>
          <w:szCs w:val="32"/>
          <w:highlight w:val="none"/>
        </w:rPr>
        <w:t>债券信用级别均为AAA。在</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专项债券（二十五期）</w:t>
      </w:r>
      <w:r>
        <w:rPr>
          <w:rFonts w:hint="default" w:ascii="Times New Roman" w:hAnsi="Times New Roman" w:eastAsia="仿宋_GB2312" w:cs="Times New Roman"/>
          <w:color w:val="auto"/>
          <w:sz w:val="32"/>
          <w:szCs w:val="32"/>
          <w:highlight w:val="none"/>
        </w:rPr>
        <w:t>存续期内，四川省财政厅将委托</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有限公司每年开展一次跟踪评级。</w:t>
      </w:r>
    </w:p>
    <w:p w14:paraId="7D4B65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三、全省中长期经济规划情况</w:t>
      </w:r>
    </w:p>
    <w:p w14:paraId="2F91D307">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已经四川省第十三届人民代表大会第四次会议批准。“十四五”时期四川将深入落实习近平总书记对四川工作系列重要指示精神，加快推动成渝地区双城经济圈建设，主动融入以国内大循环为主体、国内国际双循环相互促进的新发展格局，统筹发展和安全，推进治理体系和治理能力现代化，实现经济行稳致远、社会安定和谐。</w:t>
      </w:r>
    </w:p>
    <w:p w14:paraId="10B7620D">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十四五”时期，四川经济社会发展的主要目标是：经济持续平稳增长，经济总量再跨上两个万亿台阶、年均增长6%，人均地区生产总值与全国差距进一步缩小，经济结构持续优化，发展质量和效益明显提升。重点领域和关键环节改革取得重大进展，高标准市场体系基本建成，“四向拓展、全域开放”立体全面开放态势更加巩固，更高水平开放型经济新体制基本形成。公共文化服务体系和文化产业体系更加健全，人民精神文化生活日益丰富，文化强省旅游强省基本建成。环境治理效果显著增强，绿色低碳生产生活方式基本形成，城乡人居环境明显改善。居民收入增长和经济增长基本同步，城乡居民人均可支配收入增速高于全国，分配结构明显改善。社会主义民主法治更加健全，更高水平的法治四川平安四川建设扎实推进，城乡基层治理制度创新和能力建设取得新成效，防范化解重大风险体制机制不断健全。</w:t>
      </w:r>
    </w:p>
    <w:p w14:paraId="5A91817D">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三五年远景目标：经济实力大幅跃升，人均地区生产总值在二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年基础上翻一番。科技实力跻身全国前列，科技强省基本建成。治理体系和治理能力现代化基本实现，法治四川、法治政府、法治社会基本建成。长江、黄河上游生态安全屏障更加牢固，美丽四川建设目标基本实现。交通强省基本建成，对外开放优势明显增强。基本公共服务实现均等化，人的全面发展、全体人民共同富裕取得更为明显的实质性进展。</w:t>
      </w:r>
    </w:p>
    <w:p w14:paraId="0234C229">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三五年远景目标纲要》具体内容参见四川省发展和改革委员会网站。</w:t>
      </w:r>
    </w:p>
    <w:p w14:paraId="2E4F87B9">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640" w:leftChars="0" w:firstLine="0" w:firstLine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四川省经济、财政和债务有关数据</w:t>
      </w:r>
    </w:p>
    <w:tbl>
      <w:tblPr>
        <w:tblStyle w:val="11"/>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120"/>
        <w:gridCol w:w="49"/>
        <w:gridCol w:w="463"/>
        <w:gridCol w:w="185"/>
        <w:gridCol w:w="465"/>
        <w:gridCol w:w="1031"/>
        <w:gridCol w:w="56"/>
        <w:gridCol w:w="1126"/>
        <w:gridCol w:w="596"/>
        <w:gridCol w:w="397"/>
        <w:gridCol w:w="27"/>
        <w:gridCol w:w="1110"/>
      </w:tblGrid>
      <w:tr w14:paraId="4F0F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9723" w:type="dxa"/>
            <w:gridSpan w:val="13"/>
            <w:shd w:val="clear" w:color="auto" w:fill="auto"/>
            <w:noWrap/>
            <w:vAlign w:val="center"/>
          </w:tcPr>
          <w:p w14:paraId="5F100581">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一、地方经济状况</w:t>
            </w:r>
          </w:p>
        </w:tc>
      </w:tr>
      <w:tr w14:paraId="12E1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9723" w:type="dxa"/>
            <w:gridSpan w:val="13"/>
            <w:shd w:val="clear" w:color="auto" w:fill="auto"/>
            <w:noWrap/>
            <w:vAlign w:val="center"/>
          </w:tcPr>
          <w:p w14:paraId="7D0F1E15">
            <w:pPr>
              <w:widowControl/>
              <w:spacing w:line="400" w:lineRule="exact"/>
              <w:ind w:firstLine="482"/>
              <w:jc w:val="center"/>
              <w:rPr>
                <w:rFonts w:hint="default" w:ascii="Times New Roman" w:hAnsi="Times New Roman" w:cs="Times New Roman"/>
                <w:b/>
                <w:kern w:val="0"/>
                <w:sz w:val="24"/>
                <w:highlight w:val="none"/>
              </w:rPr>
            </w:pPr>
            <w:r>
              <w:rPr>
                <w:rFonts w:hint="default" w:ascii="Times New Roman" w:hAnsi="Times New Roman" w:eastAsia="仿宋_GB2312" w:cs="Times New Roman"/>
                <w:b/>
                <w:bCs/>
                <w:kern w:val="2"/>
                <w:sz w:val="24"/>
                <w:szCs w:val="21"/>
                <w:highlight w:val="none"/>
                <w:lang w:val="en-US" w:eastAsia="zh-CN" w:bidi="ar-SA"/>
              </w:rPr>
              <w:t>20</w:t>
            </w:r>
            <w:r>
              <w:rPr>
                <w:rFonts w:hint="default" w:ascii="Times New Roman" w:hAnsi="Times New Roman" w:cs="Times New Roman"/>
                <w:b/>
                <w:bCs/>
                <w:kern w:val="2"/>
                <w:sz w:val="24"/>
                <w:szCs w:val="21"/>
                <w:highlight w:val="none"/>
                <w:lang w:val="en-US" w:eastAsia="zh-CN" w:bidi="ar-SA"/>
              </w:rPr>
              <w:t>2</w:t>
            </w:r>
            <w:r>
              <w:rPr>
                <w:rFonts w:hint="eastAsia" w:cs="Times New Roman"/>
                <w:b/>
                <w:bCs/>
                <w:kern w:val="2"/>
                <w:sz w:val="24"/>
                <w:szCs w:val="21"/>
                <w:highlight w:val="none"/>
                <w:lang w:val="en-US" w:eastAsia="zh-CN" w:bidi="ar-SA"/>
              </w:rPr>
              <w:t>2</w:t>
            </w:r>
            <w:r>
              <w:rPr>
                <w:rFonts w:hint="default" w:ascii="Times New Roman" w:hAnsi="Times New Roman" w:eastAsia="仿宋_GB2312" w:cs="Times New Roman"/>
                <w:b/>
                <w:bCs/>
                <w:kern w:val="2"/>
                <w:sz w:val="24"/>
                <w:szCs w:val="21"/>
                <w:highlight w:val="none"/>
                <w:lang w:val="en-US" w:eastAsia="zh-CN" w:bidi="ar-SA"/>
              </w:rPr>
              <w:t>－202</w:t>
            </w:r>
            <w:r>
              <w:rPr>
                <w:rFonts w:hint="eastAsia" w:cs="Times New Roman"/>
                <w:b/>
                <w:bCs/>
                <w:kern w:val="2"/>
                <w:sz w:val="24"/>
                <w:szCs w:val="21"/>
                <w:highlight w:val="none"/>
                <w:lang w:val="en-US" w:eastAsia="zh-CN" w:bidi="ar-SA"/>
              </w:rPr>
              <w:t>4</w:t>
            </w:r>
            <w:r>
              <w:rPr>
                <w:rFonts w:hint="default" w:ascii="Times New Roman" w:hAnsi="Times New Roman" w:cs="Times New Roman"/>
                <w:b/>
                <w:kern w:val="0"/>
                <w:sz w:val="24"/>
                <w:highlight w:val="none"/>
              </w:rPr>
              <w:t>年经济基本状况</w:t>
            </w:r>
          </w:p>
        </w:tc>
      </w:tr>
      <w:tr w14:paraId="7F7D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915" w:type="dxa"/>
            <w:gridSpan w:val="5"/>
            <w:shd w:val="clear" w:color="auto" w:fill="auto"/>
            <w:noWrap/>
            <w:vAlign w:val="center"/>
          </w:tcPr>
          <w:p w14:paraId="63CFB9D8">
            <w:pPr>
              <w:widowControl/>
              <w:spacing w:line="400" w:lineRule="exact"/>
              <w:ind w:firstLine="2880" w:firstLineChars="1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3175</wp:posOffset>
                      </wp:positionV>
                      <wp:extent cx="3124835" cy="497840"/>
                      <wp:effectExtent l="635" t="4445" r="17780" b="12065"/>
                      <wp:wrapNone/>
                      <wp:docPr id="2" name="直接箭头连接符 2"/>
                      <wp:cNvGraphicFramePr/>
                      <a:graphic xmlns:a="http://schemas.openxmlformats.org/drawingml/2006/main">
                        <a:graphicData uri="http://schemas.microsoft.com/office/word/2010/wordprocessingShape">
                          <wps:wsp>
                            <wps:cNvCnPr/>
                            <wps:spPr>
                              <a:xfrm>
                                <a:off x="0" y="0"/>
                                <a:ext cx="3124835" cy="497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25pt;height:39.2pt;width:246.05pt;z-index:251659264;mso-width-relative:page;mso-height-relative:page;" filled="f" stroked="t" coordsize="21600,21600" o:gfxdata="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pRh4dYAAAAHAQAADwAAAAAAAAABACAAAAAiAAAAZHJzL2Rv&#10;d25yZXYueG1sUEsBAhQAFAAAAAgAh07iQEvAzi8DAgAA8QMAAA4AAAAAAAAAAQAgAAAAJQEAAGRy&#10;cy9lMm9Eb2MueG1sUEsFBgAAAAAGAAYAWQEAAJoFAAAAAA==&#10;">
                      <v:fill on="f" focussize="0,0"/>
                      <v:stroke color="#000000" joinstyle="round"/>
                      <v:imagedata o:title=""/>
                      <o:lock v:ext="edit" aspectratio="f"/>
                    </v:shape>
                  </w:pict>
                </mc:Fallback>
              </mc:AlternateContent>
            </w:r>
            <w:r>
              <w:rPr>
                <w:rFonts w:hint="default" w:ascii="Times New Roman" w:hAnsi="Times New Roman" w:cs="Times New Roman"/>
                <w:kern w:val="0"/>
                <w:sz w:val="24"/>
                <w:highlight w:val="none"/>
              </w:rPr>
              <w:t>年份</w:t>
            </w:r>
          </w:p>
          <w:p w14:paraId="1F932F44">
            <w:pPr>
              <w:widowControl/>
              <w:spacing w:line="400" w:lineRule="exact"/>
              <w:ind w:firstLine="1320" w:firstLineChars="55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项目</w:t>
            </w:r>
          </w:p>
        </w:tc>
        <w:tc>
          <w:tcPr>
            <w:tcW w:w="1552" w:type="dxa"/>
            <w:gridSpan w:val="3"/>
            <w:shd w:val="clear" w:color="auto" w:fill="auto"/>
            <w:noWrap/>
            <w:vAlign w:val="center"/>
          </w:tcPr>
          <w:p w14:paraId="6C9BDBE5">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2022</w:t>
            </w:r>
            <w:r>
              <w:rPr>
                <w:rFonts w:hint="default" w:ascii="Times New Roman" w:hAnsi="Times New Roman" w:cs="Times New Roman"/>
                <w:kern w:val="0"/>
                <w:sz w:val="24"/>
                <w:highlight w:val="none"/>
                <w:lang w:val="en" w:eastAsia="zh-CN"/>
              </w:rPr>
              <w:t>年</w:t>
            </w:r>
          </w:p>
        </w:tc>
        <w:tc>
          <w:tcPr>
            <w:tcW w:w="1722" w:type="dxa"/>
            <w:gridSpan w:val="2"/>
            <w:shd w:val="clear" w:color="auto" w:fill="auto"/>
            <w:noWrap/>
            <w:vAlign w:val="center"/>
          </w:tcPr>
          <w:p w14:paraId="165FE8FC">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w:t>
            </w:r>
            <w:r>
              <w:rPr>
                <w:rFonts w:hint="default" w:ascii="Times New Roman" w:hAnsi="Times New Roman" w:cs="Times New Roman"/>
                <w:kern w:val="0"/>
                <w:sz w:val="24"/>
                <w:highlight w:val="none"/>
                <w:lang w:val="en-US" w:eastAsia="zh-CN"/>
              </w:rPr>
              <w:t>3</w:t>
            </w:r>
            <w:r>
              <w:rPr>
                <w:rFonts w:hint="default" w:ascii="Times New Roman" w:hAnsi="Times New Roman" w:cs="Times New Roman"/>
                <w:kern w:val="0"/>
                <w:sz w:val="24"/>
                <w:highlight w:val="none"/>
                <w:lang w:val="en" w:eastAsia="zh-CN"/>
              </w:rPr>
              <w:t>年</w:t>
            </w:r>
          </w:p>
        </w:tc>
        <w:tc>
          <w:tcPr>
            <w:tcW w:w="1534" w:type="dxa"/>
            <w:gridSpan w:val="3"/>
            <w:shd w:val="clear" w:color="auto" w:fill="auto"/>
            <w:noWrap/>
            <w:vAlign w:val="center"/>
          </w:tcPr>
          <w:p w14:paraId="1FE55D19">
            <w:pPr>
              <w:widowControl/>
              <w:spacing w:line="400" w:lineRule="exact"/>
              <w:jc w:val="center"/>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rPr>
              <w:t>202</w:t>
            </w:r>
            <w:r>
              <w:rPr>
                <w:rFonts w:hint="eastAsia" w:cs="Times New Roman"/>
                <w:kern w:val="0"/>
                <w:sz w:val="24"/>
                <w:highlight w:val="none"/>
                <w:lang w:val="en-US" w:eastAsia="zh-CN"/>
              </w:rPr>
              <w:t>4</w:t>
            </w:r>
            <w:r>
              <w:rPr>
                <w:rFonts w:hint="default" w:ascii="Times New Roman" w:hAnsi="Times New Roman" w:cs="Times New Roman"/>
                <w:kern w:val="0"/>
                <w:sz w:val="24"/>
                <w:highlight w:val="none"/>
                <w:lang w:val="en" w:eastAsia="zh-CN"/>
              </w:rPr>
              <w:t>年</w:t>
            </w:r>
          </w:p>
        </w:tc>
      </w:tr>
      <w:tr w14:paraId="49D6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A29617E">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地区生产总值（亿元）</w:t>
            </w:r>
          </w:p>
        </w:tc>
        <w:tc>
          <w:tcPr>
            <w:tcW w:w="1552" w:type="dxa"/>
            <w:gridSpan w:val="3"/>
            <w:shd w:val="clear" w:color="auto" w:fill="auto"/>
            <w:noWrap/>
            <w:vAlign w:val="center"/>
          </w:tcPr>
          <w:p w14:paraId="7406626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56610.2</w:t>
            </w:r>
          </w:p>
        </w:tc>
        <w:tc>
          <w:tcPr>
            <w:tcW w:w="1722" w:type="dxa"/>
            <w:gridSpan w:val="2"/>
            <w:shd w:val="clear" w:color="auto" w:fill="auto"/>
            <w:noWrap/>
            <w:vAlign w:val="center"/>
          </w:tcPr>
          <w:p w14:paraId="5C5CD88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60132.</w:t>
            </w:r>
            <w:r>
              <w:rPr>
                <w:rFonts w:hint="default" w:ascii="Times New Roman" w:hAnsi="Times New Roman" w:cs="Times New Roman"/>
                <w:sz w:val="24"/>
                <w:highlight w:val="none"/>
                <w:lang w:val="en" w:eastAsia="zh-CN"/>
              </w:rPr>
              <w:t>9</w:t>
            </w:r>
          </w:p>
        </w:tc>
        <w:tc>
          <w:tcPr>
            <w:tcW w:w="1534" w:type="dxa"/>
            <w:gridSpan w:val="3"/>
            <w:shd w:val="clear" w:color="auto" w:fill="auto"/>
            <w:noWrap/>
            <w:vAlign w:val="center"/>
          </w:tcPr>
          <w:p w14:paraId="2D9193FE">
            <w:pPr>
              <w:spacing w:line="40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64697.0</w:t>
            </w:r>
          </w:p>
        </w:tc>
      </w:tr>
      <w:tr w14:paraId="1192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1E1F03B">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地区生产总值增速（%）</w:t>
            </w:r>
          </w:p>
        </w:tc>
        <w:tc>
          <w:tcPr>
            <w:tcW w:w="1552" w:type="dxa"/>
            <w:gridSpan w:val="3"/>
            <w:shd w:val="clear" w:color="auto" w:fill="auto"/>
            <w:noWrap/>
            <w:vAlign w:val="center"/>
          </w:tcPr>
          <w:p w14:paraId="3D7D100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8</w:t>
            </w:r>
          </w:p>
        </w:tc>
        <w:tc>
          <w:tcPr>
            <w:tcW w:w="1722" w:type="dxa"/>
            <w:gridSpan w:val="2"/>
            <w:shd w:val="clear" w:color="auto" w:fill="auto"/>
            <w:noWrap/>
            <w:vAlign w:val="center"/>
          </w:tcPr>
          <w:p w14:paraId="0F199C8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w:t>
            </w:r>
          </w:p>
        </w:tc>
        <w:tc>
          <w:tcPr>
            <w:tcW w:w="1534" w:type="dxa"/>
            <w:gridSpan w:val="3"/>
            <w:shd w:val="clear" w:color="auto" w:fill="auto"/>
            <w:noWrap/>
            <w:vAlign w:val="center"/>
          </w:tcPr>
          <w:p w14:paraId="5918E498">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5.7</w:t>
            </w:r>
          </w:p>
        </w:tc>
      </w:tr>
      <w:tr w14:paraId="17F1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D8994F1">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第一产业增加值（亿元）</w:t>
            </w:r>
          </w:p>
        </w:tc>
        <w:tc>
          <w:tcPr>
            <w:tcW w:w="1552" w:type="dxa"/>
            <w:gridSpan w:val="3"/>
            <w:shd w:val="clear" w:color="auto" w:fill="auto"/>
            <w:noWrap/>
            <w:vAlign w:val="center"/>
          </w:tcPr>
          <w:p w14:paraId="72E0400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596</w:t>
            </w: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5</w:t>
            </w:r>
          </w:p>
        </w:tc>
        <w:tc>
          <w:tcPr>
            <w:tcW w:w="1722" w:type="dxa"/>
            <w:gridSpan w:val="2"/>
            <w:shd w:val="clear" w:color="auto" w:fill="auto"/>
            <w:noWrap/>
            <w:vAlign w:val="center"/>
          </w:tcPr>
          <w:p w14:paraId="36E0465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6056.64</w:t>
            </w:r>
          </w:p>
        </w:tc>
        <w:tc>
          <w:tcPr>
            <w:tcW w:w="1534" w:type="dxa"/>
            <w:gridSpan w:val="3"/>
            <w:shd w:val="clear" w:color="auto" w:fill="auto"/>
            <w:noWrap/>
            <w:vAlign w:val="center"/>
          </w:tcPr>
          <w:p w14:paraId="71F34427">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5619.9</w:t>
            </w:r>
          </w:p>
        </w:tc>
      </w:tr>
      <w:tr w14:paraId="7B5C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FBED16A">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第二产业增加值（亿元）</w:t>
            </w:r>
          </w:p>
        </w:tc>
        <w:tc>
          <w:tcPr>
            <w:tcW w:w="1552" w:type="dxa"/>
            <w:gridSpan w:val="3"/>
            <w:shd w:val="clear" w:color="auto" w:fill="auto"/>
            <w:noWrap/>
            <w:vAlign w:val="center"/>
          </w:tcPr>
          <w:p w14:paraId="625876E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0591.4</w:t>
            </w:r>
          </w:p>
        </w:tc>
        <w:tc>
          <w:tcPr>
            <w:tcW w:w="1722" w:type="dxa"/>
            <w:gridSpan w:val="2"/>
            <w:shd w:val="clear" w:color="auto" w:fill="auto"/>
            <w:noWrap/>
            <w:vAlign w:val="center"/>
          </w:tcPr>
          <w:p w14:paraId="53C18B0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21306.70</w:t>
            </w:r>
          </w:p>
        </w:tc>
        <w:tc>
          <w:tcPr>
            <w:tcW w:w="1534" w:type="dxa"/>
            <w:gridSpan w:val="3"/>
            <w:shd w:val="clear" w:color="auto" w:fill="auto"/>
            <w:noWrap/>
            <w:vAlign w:val="center"/>
          </w:tcPr>
          <w:p w14:paraId="3859DEBE">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22816.9</w:t>
            </w:r>
          </w:p>
        </w:tc>
      </w:tr>
      <w:tr w14:paraId="681E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1756695">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第三产业增加值（亿元）</w:t>
            </w:r>
          </w:p>
        </w:tc>
        <w:tc>
          <w:tcPr>
            <w:tcW w:w="1552" w:type="dxa"/>
            <w:gridSpan w:val="3"/>
            <w:shd w:val="clear" w:color="auto" w:fill="auto"/>
            <w:noWrap/>
            <w:vAlign w:val="center"/>
          </w:tcPr>
          <w:p w14:paraId="09B5296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30053.3</w:t>
            </w:r>
          </w:p>
        </w:tc>
        <w:tc>
          <w:tcPr>
            <w:tcW w:w="1722" w:type="dxa"/>
            <w:gridSpan w:val="2"/>
            <w:shd w:val="clear" w:color="auto" w:fill="auto"/>
            <w:noWrap/>
            <w:vAlign w:val="center"/>
          </w:tcPr>
          <w:p w14:paraId="32B7474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32769.54</w:t>
            </w:r>
          </w:p>
        </w:tc>
        <w:tc>
          <w:tcPr>
            <w:tcW w:w="1534" w:type="dxa"/>
            <w:gridSpan w:val="3"/>
            <w:shd w:val="clear" w:color="auto" w:fill="auto"/>
            <w:noWrap/>
            <w:vAlign w:val="center"/>
          </w:tcPr>
          <w:p w14:paraId="40BFA6E4">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36260.2</w:t>
            </w:r>
          </w:p>
        </w:tc>
      </w:tr>
      <w:tr w14:paraId="2054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693AEAC2">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产业结构</w:t>
            </w:r>
          </w:p>
        </w:tc>
        <w:tc>
          <w:tcPr>
            <w:tcW w:w="1552" w:type="dxa"/>
            <w:gridSpan w:val="3"/>
            <w:shd w:val="clear" w:color="auto" w:fill="auto"/>
            <w:noWrap/>
            <w:vAlign w:val="center"/>
          </w:tcPr>
          <w:p w14:paraId="04DA0801">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14:paraId="5289E9D1">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534" w:type="dxa"/>
            <w:gridSpan w:val="3"/>
            <w:shd w:val="clear" w:color="auto" w:fill="auto"/>
            <w:noWrap/>
            <w:vAlign w:val="center"/>
          </w:tcPr>
          <w:p w14:paraId="633022A8">
            <w:pPr>
              <w:spacing w:line="400" w:lineRule="exact"/>
              <w:ind w:left="640"/>
              <w:jc w:val="right"/>
              <w:rPr>
                <w:rFonts w:hint="default" w:ascii="Times New Roman" w:hAnsi="Times New Roman" w:eastAsia="仿宋_GB2312" w:cs="Times New Roman"/>
                <w:sz w:val="24"/>
                <w:highlight w:val="none"/>
              </w:rPr>
            </w:pPr>
          </w:p>
        </w:tc>
      </w:tr>
      <w:tr w14:paraId="7F4A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724E2D8">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第一产业增加值比重（%）</w:t>
            </w:r>
          </w:p>
        </w:tc>
        <w:tc>
          <w:tcPr>
            <w:tcW w:w="1552" w:type="dxa"/>
            <w:gridSpan w:val="3"/>
            <w:shd w:val="clear" w:color="auto" w:fill="auto"/>
            <w:noWrap/>
            <w:vAlign w:val="center"/>
          </w:tcPr>
          <w:p w14:paraId="13C800B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w:t>
            </w:r>
          </w:p>
        </w:tc>
        <w:tc>
          <w:tcPr>
            <w:tcW w:w="1722" w:type="dxa"/>
            <w:gridSpan w:val="2"/>
            <w:shd w:val="clear" w:color="auto" w:fill="auto"/>
            <w:noWrap/>
            <w:vAlign w:val="center"/>
          </w:tcPr>
          <w:p w14:paraId="4792923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10.1</w:t>
            </w:r>
          </w:p>
        </w:tc>
        <w:tc>
          <w:tcPr>
            <w:tcW w:w="1534" w:type="dxa"/>
            <w:gridSpan w:val="3"/>
            <w:shd w:val="clear" w:color="auto" w:fill="auto"/>
            <w:noWrap/>
            <w:vAlign w:val="center"/>
          </w:tcPr>
          <w:p w14:paraId="41CEE17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8.7</w:t>
            </w:r>
          </w:p>
        </w:tc>
      </w:tr>
      <w:tr w14:paraId="5286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1629ED1F">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第二产业增加值比重（%）</w:t>
            </w:r>
          </w:p>
        </w:tc>
        <w:tc>
          <w:tcPr>
            <w:tcW w:w="1552" w:type="dxa"/>
            <w:gridSpan w:val="3"/>
            <w:shd w:val="clear" w:color="auto" w:fill="auto"/>
            <w:noWrap/>
            <w:vAlign w:val="center"/>
          </w:tcPr>
          <w:p w14:paraId="525D5E28">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36.</w:t>
            </w:r>
            <w:r>
              <w:rPr>
                <w:rFonts w:hint="default" w:ascii="Times New Roman" w:hAnsi="Times New Roman" w:cs="Times New Roman"/>
                <w:sz w:val="24"/>
                <w:highlight w:val="none"/>
                <w:lang w:val="en-US" w:eastAsia="zh-CN"/>
              </w:rPr>
              <w:t>4</w:t>
            </w:r>
          </w:p>
        </w:tc>
        <w:tc>
          <w:tcPr>
            <w:tcW w:w="1722" w:type="dxa"/>
            <w:gridSpan w:val="2"/>
            <w:shd w:val="clear" w:color="auto" w:fill="auto"/>
            <w:noWrap/>
            <w:vAlign w:val="center"/>
          </w:tcPr>
          <w:p w14:paraId="378C8C1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35.4</w:t>
            </w:r>
          </w:p>
        </w:tc>
        <w:tc>
          <w:tcPr>
            <w:tcW w:w="1534" w:type="dxa"/>
            <w:gridSpan w:val="3"/>
            <w:shd w:val="clear" w:color="auto" w:fill="auto"/>
            <w:noWrap/>
            <w:vAlign w:val="center"/>
          </w:tcPr>
          <w:p w14:paraId="58676C5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35.3</w:t>
            </w:r>
          </w:p>
        </w:tc>
      </w:tr>
      <w:tr w14:paraId="725A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1923E61">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第三产业增加值比重（%）</w:t>
            </w:r>
          </w:p>
        </w:tc>
        <w:tc>
          <w:tcPr>
            <w:tcW w:w="1552" w:type="dxa"/>
            <w:gridSpan w:val="3"/>
            <w:shd w:val="clear" w:color="auto" w:fill="auto"/>
            <w:noWrap/>
            <w:vAlign w:val="center"/>
          </w:tcPr>
          <w:p w14:paraId="5F51C80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1</w:t>
            </w:r>
          </w:p>
        </w:tc>
        <w:tc>
          <w:tcPr>
            <w:tcW w:w="1722" w:type="dxa"/>
            <w:gridSpan w:val="2"/>
            <w:shd w:val="clear" w:color="auto" w:fill="auto"/>
            <w:noWrap/>
            <w:vAlign w:val="center"/>
          </w:tcPr>
          <w:p w14:paraId="1309DCD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54.5</w:t>
            </w:r>
          </w:p>
        </w:tc>
        <w:tc>
          <w:tcPr>
            <w:tcW w:w="1534" w:type="dxa"/>
            <w:gridSpan w:val="3"/>
            <w:shd w:val="clear" w:color="auto" w:fill="auto"/>
            <w:noWrap/>
            <w:vAlign w:val="center"/>
          </w:tcPr>
          <w:p w14:paraId="29FAE2B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56.0</w:t>
            </w:r>
          </w:p>
        </w:tc>
      </w:tr>
      <w:tr w14:paraId="048D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A90558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全社会固定资产投资增速（%）</w:t>
            </w:r>
          </w:p>
        </w:tc>
        <w:tc>
          <w:tcPr>
            <w:tcW w:w="1552" w:type="dxa"/>
            <w:gridSpan w:val="3"/>
            <w:shd w:val="clear" w:color="auto" w:fill="auto"/>
            <w:noWrap/>
            <w:vAlign w:val="center"/>
          </w:tcPr>
          <w:p w14:paraId="29B6228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8.4</w:t>
            </w:r>
          </w:p>
        </w:tc>
        <w:tc>
          <w:tcPr>
            <w:tcW w:w="1722" w:type="dxa"/>
            <w:gridSpan w:val="2"/>
            <w:shd w:val="clear" w:color="auto" w:fill="auto"/>
            <w:noWrap/>
            <w:vAlign w:val="center"/>
          </w:tcPr>
          <w:p w14:paraId="54FF201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4.4</w:t>
            </w:r>
          </w:p>
        </w:tc>
        <w:tc>
          <w:tcPr>
            <w:tcW w:w="1534" w:type="dxa"/>
            <w:gridSpan w:val="3"/>
            <w:shd w:val="clear" w:color="auto" w:fill="auto"/>
            <w:noWrap/>
            <w:vAlign w:val="center"/>
          </w:tcPr>
          <w:p w14:paraId="288D356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2.4</w:t>
            </w:r>
          </w:p>
        </w:tc>
      </w:tr>
      <w:tr w14:paraId="5C75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C1EC6E6">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进出口总额（亿元）</w:t>
            </w:r>
          </w:p>
        </w:tc>
        <w:tc>
          <w:tcPr>
            <w:tcW w:w="1552" w:type="dxa"/>
            <w:gridSpan w:val="3"/>
            <w:shd w:val="clear" w:color="auto" w:fill="auto"/>
            <w:noWrap/>
            <w:vAlign w:val="center"/>
          </w:tcPr>
          <w:p w14:paraId="243029E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10076.8</w:t>
            </w:r>
          </w:p>
        </w:tc>
        <w:tc>
          <w:tcPr>
            <w:tcW w:w="1722" w:type="dxa"/>
            <w:gridSpan w:val="2"/>
            <w:shd w:val="clear" w:color="auto" w:fill="auto"/>
            <w:noWrap/>
            <w:vAlign w:val="center"/>
          </w:tcPr>
          <w:p w14:paraId="21C9B99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9574.9</w:t>
            </w:r>
          </w:p>
        </w:tc>
        <w:tc>
          <w:tcPr>
            <w:tcW w:w="1534" w:type="dxa"/>
            <w:gridSpan w:val="3"/>
            <w:shd w:val="clear" w:color="auto" w:fill="auto"/>
            <w:noWrap/>
            <w:vAlign w:val="center"/>
          </w:tcPr>
          <w:p w14:paraId="39D4DE8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10457.2</w:t>
            </w:r>
          </w:p>
        </w:tc>
      </w:tr>
      <w:tr w14:paraId="7128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D351A2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出口额（亿元）</w:t>
            </w:r>
          </w:p>
        </w:tc>
        <w:tc>
          <w:tcPr>
            <w:tcW w:w="1552" w:type="dxa"/>
            <w:gridSpan w:val="3"/>
            <w:shd w:val="clear" w:color="auto" w:fill="auto"/>
            <w:noWrap/>
            <w:vAlign w:val="center"/>
          </w:tcPr>
          <w:p w14:paraId="7BB31C4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6215.2</w:t>
            </w:r>
          </w:p>
        </w:tc>
        <w:tc>
          <w:tcPr>
            <w:tcW w:w="1722" w:type="dxa"/>
            <w:gridSpan w:val="2"/>
            <w:shd w:val="clear" w:color="auto" w:fill="auto"/>
            <w:noWrap/>
            <w:vAlign w:val="center"/>
          </w:tcPr>
          <w:p w14:paraId="2710858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6033.9</w:t>
            </w:r>
          </w:p>
        </w:tc>
        <w:tc>
          <w:tcPr>
            <w:tcW w:w="1534" w:type="dxa"/>
            <w:gridSpan w:val="3"/>
            <w:shd w:val="clear" w:color="auto" w:fill="auto"/>
            <w:noWrap/>
            <w:vAlign w:val="center"/>
          </w:tcPr>
          <w:p w14:paraId="464F4D9E">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6177.7</w:t>
            </w:r>
          </w:p>
        </w:tc>
      </w:tr>
      <w:tr w14:paraId="3CE7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1BDAA19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进口额（亿元）</w:t>
            </w:r>
          </w:p>
        </w:tc>
        <w:tc>
          <w:tcPr>
            <w:tcW w:w="1552" w:type="dxa"/>
            <w:gridSpan w:val="3"/>
            <w:shd w:val="clear" w:color="auto" w:fill="auto"/>
            <w:noWrap/>
            <w:vAlign w:val="center"/>
          </w:tcPr>
          <w:p w14:paraId="0B39057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3861.6</w:t>
            </w:r>
          </w:p>
        </w:tc>
        <w:tc>
          <w:tcPr>
            <w:tcW w:w="1722" w:type="dxa"/>
            <w:gridSpan w:val="2"/>
            <w:shd w:val="clear" w:color="auto" w:fill="auto"/>
            <w:noWrap/>
            <w:vAlign w:val="center"/>
          </w:tcPr>
          <w:p w14:paraId="6BB79D8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3541.0</w:t>
            </w:r>
          </w:p>
        </w:tc>
        <w:tc>
          <w:tcPr>
            <w:tcW w:w="1534" w:type="dxa"/>
            <w:gridSpan w:val="3"/>
            <w:shd w:val="clear" w:color="auto" w:fill="auto"/>
            <w:noWrap/>
            <w:vAlign w:val="center"/>
          </w:tcPr>
          <w:p w14:paraId="10CB6DBE">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4279.5</w:t>
            </w:r>
          </w:p>
        </w:tc>
      </w:tr>
      <w:tr w14:paraId="5477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63C5EA5">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社会消费品零售总额（亿元）</w:t>
            </w:r>
          </w:p>
        </w:tc>
        <w:tc>
          <w:tcPr>
            <w:tcW w:w="1552" w:type="dxa"/>
            <w:gridSpan w:val="3"/>
            <w:shd w:val="clear" w:color="auto" w:fill="auto"/>
            <w:noWrap/>
            <w:vAlign w:val="center"/>
          </w:tcPr>
          <w:p w14:paraId="383EF97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24104.6</w:t>
            </w:r>
          </w:p>
        </w:tc>
        <w:tc>
          <w:tcPr>
            <w:tcW w:w="1722" w:type="dxa"/>
            <w:gridSpan w:val="2"/>
            <w:shd w:val="clear" w:color="auto" w:fill="auto"/>
            <w:noWrap/>
            <w:vAlign w:val="center"/>
          </w:tcPr>
          <w:p w14:paraId="0C63CED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26313.4</w:t>
            </w:r>
          </w:p>
        </w:tc>
        <w:tc>
          <w:tcPr>
            <w:tcW w:w="1534" w:type="dxa"/>
            <w:gridSpan w:val="3"/>
            <w:shd w:val="clear" w:color="auto" w:fill="auto"/>
            <w:noWrap/>
            <w:vAlign w:val="center"/>
          </w:tcPr>
          <w:p w14:paraId="6525088C">
            <w:pPr>
              <w:spacing w:line="400" w:lineRule="exact"/>
              <w:jc w:val="right"/>
              <w:rPr>
                <w:rFonts w:hint="default" w:ascii="Times New Roman" w:hAnsi="Times New Roman" w:eastAsia="仿宋_GB2312" w:cs="Times New Roman"/>
                <w:kern w:val="2"/>
                <w:sz w:val="28"/>
                <w:szCs w:val="28"/>
                <w:highlight w:val="yellow"/>
                <w:lang w:val="en-US" w:eastAsia="zh-CN" w:bidi="ar-SA"/>
              </w:rPr>
            </w:pPr>
            <w:r>
              <w:rPr>
                <w:rFonts w:hint="eastAsia" w:cs="Times New Roman"/>
                <w:sz w:val="24"/>
                <w:highlight w:val="none"/>
                <w:lang w:val="en-US" w:eastAsia="zh-CN"/>
              </w:rPr>
              <w:t>27709.8</w:t>
            </w:r>
          </w:p>
        </w:tc>
      </w:tr>
      <w:tr w14:paraId="25D4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1A71C98">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城镇居民人均可支配收入（元）</w:t>
            </w:r>
          </w:p>
        </w:tc>
        <w:tc>
          <w:tcPr>
            <w:tcW w:w="1552" w:type="dxa"/>
            <w:gridSpan w:val="3"/>
            <w:shd w:val="clear" w:color="auto" w:fill="auto"/>
            <w:noWrap/>
            <w:vAlign w:val="center"/>
          </w:tcPr>
          <w:p w14:paraId="7D86116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43233</w:t>
            </w:r>
          </w:p>
        </w:tc>
        <w:tc>
          <w:tcPr>
            <w:tcW w:w="1722" w:type="dxa"/>
            <w:gridSpan w:val="2"/>
            <w:shd w:val="clear" w:color="auto" w:fill="auto"/>
            <w:noWrap/>
            <w:vAlign w:val="center"/>
          </w:tcPr>
          <w:p w14:paraId="0B0FCA71">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45227</w:t>
            </w:r>
          </w:p>
        </w:tc>
        <w:tc>
          <w:tcPr>
            <w:tcW w:w="1534" w:type="dxa"/>
            <w:gridSpan w:val="3"/>
            <w:shd w:val="clear" w:color="auto" w:fill="auto"/>
            <w:noWrap/>
            <w:vAlign w:val="center"/>
          </w:tcPr>
          <w:p w14:paraId="26DF1FB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47336.0</w:t>
            </w:r>
          </w:p>
        </w:tc>
      </w:tr>
      <w:tr w14:paraId="5F0B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B8A3D8C">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农村居民人均可支配收入（元）</w:t>
            </w:r>
          </w:p>
        </w:tc>
        <w:tc>
          <w:tcPr>
            <w:tcW w:w="1552" w:type="dxa"/>
            <w:gridSpan w:val="3"/>
            <w:shd w:val="clear" w:color="auto" w:fill="auto"/>
            <w:noWrap/>
            <w:vAlign w:val="center"/>
          </w:tcPr>
          <w:p w14:paraId="196C423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18672</w:t>
            </w:r>
          </w:p>
        </w:tc>
        <w:tc>
          <w:tcPr>
            <w:tcW w:w="1722" w:type="dxa"/>
            <w:gridSpan w:val="2"/>
            <w:shd w:val="clear" w:color="auto" w:fill="auto"/>
            <w:noWrap/>
            <w:vAlign w:val="center"/>
          </w:tcPr>
          <w:p w14:paraId="3DD94C1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19978</w:t>
            </w:r>
          </w:p>
        </w:tc>
        <w:tc>
          <w:tcPr>
            <w:tcW w:w="1534" w:type="dxa"/>
            <w:gridSpan w:val="3"/>
            <w:shd w:val="clear" w:color="auto" w:fill="auto"/>
            <w:noWrap/>
            <w:vAlign w:val="center"/>
          </w:tcPr>
          <w:p w14:paraId="4035B48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21303.0</w:t>
            </w:r>
          </w:p>
        </w:tc>
      </w:tr>
      <w:tr w14:paraId="6EE8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6B96E3C9">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居民消费价格指数（上年＝100）</w:t>
            </w:r>
          </w:p>
        </w:tc>
        <w:tc>
          <w:tcPr>
            <w:tcW w:w="1552" w:type="dxa"/>
            <w:gridSpan w:val="3"/>
            <w:shd w:val="clear" w:color="auto" w:fill="auto"/>
            <w:noWrap/>
            <w:vAlign w:val="center"/>
          </w:tcPr>
          <w:p w14:paraId="769CE50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102.0</w:t>
            </w:r>
          </w:p>
        </w:tc>
        <w:tc>
          <w:tcPr>
            <w:tcW w:w="1722" w:type="dxa"/>
            <w:gridSpan w:val="2"/>
            <w:shd w:val="clear" w:color="auto" w:fill="auto"/>
            <w:noWrap/>
            <w:vAlign w:val="center"/>
          </w:tcPr>
          <w:p w14:paraId="752C963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100.0</w:t>
            </w:r>
          </w:p>
        </w:tc>
        <w:tc>
          <w:tcPr>
            <w:tcW w:w="1534" w:type="dxa"/>
            <w:gridSpan w:val="3"/>
            <w:shd w:val="clear" w:color="auto" w:fill="auto"/>
            <w:noWrap/>
            <w:vAlign w:val="center"/>
          </w:tcPr>
          <w:p w14:paraId="1ECE303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100.0</w:t>
            </w:r>
          </w:p>
        </w:tc>
      </w:tr>
      <w:tr w14:paraId="03B4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4056750">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工业生产者出厂价格指数（上年＝100）</w:t>
            </w:r>
          </w:p>
        </w:tc>
        <w:tc>
          <w:tcPr>
            <w:tcW w:w="1552" w:type="dxa"/>
            <w:gridSpan w:val="3"/>
            <w:shd w:val="clear" w:color="auto" w:fill="auto"/>
            <w:noWrap/>
            <w:vAlign w:val="center"/>
          </w:tcPr>
          <w:p w14:paraId="64729D1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102.8</w:t>
            </w:r>
          </w:p>
        </w:tc>
        <w:tc>
          <w:tcPr>
            <w:tcW w:w="1722" w:type="dxa"/>
            <w:gridSpan w:val="2"/>
            <w:shd w:val="clear" w:color="auto" w:fill="auto"/>
            <w:noWrap/>
            <w:vAlign w:val="center"/>
          </w:tcPr>
          <w:p w14:paraId="1208D099">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97.6</w:t>
            </w:r>
          </w:p>
        </w:tc>
        <w:tc>
          <w:tcPr>
            <w:tcW w:w="1534" w:type="dxa"/>
            <w:gridSpan w:val="3"/>
            <w:shd w:val="clear" w:color="auto" w:fill="auto"/>
            <w:noWrap/>
            <w:vAlign w:val="center"/>
          </w:tcPr>
          <w:p w14:paraId="6A7CB6B5">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97.9</w:t>
            </w:r>
          </w:p>
        </w:tc>
      </w:tr>
      <w:tr w14:paraId="339B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CF7CAB7">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工业生产者购进价格指数（上年＝100）</w:t>
            </w:r>
          </w:p>
        </w:tc>
        <w:tc>
          <w:tcPr>
            <w:tcW w:w="1552" w:type="dxa"/>
            <w:gridSpan w:val="3"/>
            <w:shd w:val="clear" w:color="auto" w:fill="auto"/>
            <w:noWrap/>
            <w:vAlign w:val="center"/>
          </w:tcPr>
          <w:p w14:paraId="165DD3C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105.8</w:t>
            </w:r>
          </w:p>
        </w:tc>
        <w:tc>
          <w:tcPr>
            <w:tcW w:w="1722" w:type="dxa"/>
            <w:gridSpan w:val="2"/>
            <w:shd w:val="clear" w:color="auto" w:fill="auto"/>
            <w:noWrap/>
            <w:vAlign w:val="center"/>
          </w:tcPr>
          <w:p w14:paraId="2BB9708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97.1</w:t>
            </w:r>
          </w:p>
        </w:tc>
        <w:tc>
          <w:tcPr>
            <w:tcW w:w="1534" w:type="dxa"/>
            <w:gridSpan w:val="3"/>
            <w:shd w:val="clear" w:color="auto" w:fill="auto"/>
            <w:noWrap/>
            <w:vAlign w:val="center"/>
          </w:tcPr>
          <w:p w14:paraId="27533715">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97.3</w:t>
            </w:r>
          </w:p>
        </w:tc>
      </w:tr>
      <w:tr w14:paraId="5EE2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F4FFAD1">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金融机构各项存款余额（本外币）（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14:paraId="5A83320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11</w:t>
            </w:r>
            <w:r>
              <w:rPr>
                <w:rFonts w:hint="eastAsia" w:cs="Times New Roman"/>
                <w:kern w:val="2"/>
                <w:sz w:val="24"/>
                <w:szCs w:val="24"/>
                <w:highlight w:val="none"/>
                <w:lang w:val="en-US" w:eastAsia="zh-CN" w:bidi="ar-SA"/>
              </w:rPr>
              <w:t>.2</w:t>
            </w:r>
          </w:p>
        </w:tc>
        <w:tc>
          <w:tcPr>
            <w:tcW w:w="1722" w:type="dxa"/>
            <w:gridSpan w:val="2"/>
            <w:shd w:val="clear" w:color="auto" w:fill="auto"/>
            <w:noWrap/>
            <w:vAlign w:val="center"/>
          </w:tcPr>
          <w:p w14:paraId="3593558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12</w:t>
            </w:r>
            <w:r>
              <w:rPr>
                <w:rFonts w:hint="eastAsia" w:cs="Times New Roman"/>
                <w:sz w:val="24"/>
                <w:highlight w:val="none"/>
                <w:lang w:val="en-US" w:eastAsia="zh-CN"/>
              </w:rPr>
              <w:t>.3</w:t>
            </w:r>
          </w:p>
        </w:tc>
        <w:tc>
          <w:tcPr>
            <w:tcW w:w="1534" w:type="dxa"/>
            <w:gridSpan w:val="3"/>
            <w:shd w:val="clear" w:color="auto" w:fill="auto"/>
            <w:noWrap/>
            <w:vAlign w:val="center"/>
          </w:tcPr>
          <w:p w14:paraId="3F8B9A3B">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13.3</w:t>
            </w:r>
          </w:p>
        </w:tc>
      </w:tr>
      <w:tr w14:paraId="0331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AA1F41E">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金融机构各项贷款余额（本外币）（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14:paraId="77A35AA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w:t>
            </w:r>
            <w:r>
              <w:rPr>
                <w:rFonts w:hint="eastAsia" w:cs="Times New Roman"/>
                <w:kern w:val="2"/>
                <w:sz w:val="24"/>
                <w:szCs w:val="24"/>
                <w:highlight w:val="none"/>
                <w:lang w:val="en-US" w:eastAsia="zh-CN" w:bidi="ar-SA"/>
              </w:rPr>
              <w:t>.</w:t>
            </w:r>
            <w:r>
              <w:rPr>
                <w:rFonts w:hint="default" w:ascii="Times New Roman" w:hAnsi="Times New Roman" w:cs="Times New Roman"/>
                <w:kern w:val="2"/>
                <w:sz w:val="24"/>
                <w:szCs w:val="24"/>
                <w:highlight w:val="none"/>
                <w:lang w:val="en-US" w:eastAsia="zh-CN" w:bidi="ar-SA"/>
              </w:rPr>
              <w:t>2</w:t>
            </w:r>
          </w:p>
        </w:tc>
        <w:tc>
          <w:tcPr>
            <w:tcW w:w="1722" w:type="dxa"/>
            <w:gridSpan w:val="2"/>
            <w:shd w:val="clear" w:color="auto" w:fill="auto"/>
            <w:noWrap/>
            <w:vAlign w:val="center"/>
          </w:tcPr>
          <w:p w14:paraId="35106CF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w:t>
            </w:r>
            <w:r>
              <w:rPr>
                <w:rFonts w:hint="eastAsia" w:cs="Times New Roman"/>
                <w:sz w:val="24"/>
                <w:highlight w:val="none"/>
                <w:lang w:val="en-US" w:eastAsia="zh-CN"/>
              </w:rPr>
              <w:t>.6</w:t>
            </w:r>
          </w:p>
        </w:tc>
        <w:tc>
          <w:tcPr>
            <w:tcW w:w="1534" w:type="dxa"/>
            <w:gridSpan w:val="3"/>
            <w:shd w:val="clear" w:color="auto" w:fill="auto"/>
            <w:noWrap/>
            <w:vAlign w:val="center"/>
          </w:tcPr>
          <w:p w14:paraId="7AED7998">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11.7</w:t>
            </w:r>
          </w:p>
        </w:tc>
      </w:tr>
      <w:tr w14:paraId="5281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9723" w:type="dxa"/>
            <w:gridSpan w:val="13"/>
            <w:shd w:val="clear" w:color="auto" w:fill="auto"/>
            <w:vAlign w:val="center"/>
          </w:tcPr>
          <w:p w14:paraId="0DB7A506">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 xml:space="preserve">  二、财政收支状况（亿元）</w:t>
            </w:r>
          </w:p>
        </w:tc>
      </w:tr>
      <w:tr w14:paraId="1D0C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23" w:type="dxa"/>
            <w:gridSpan w:val="13"/>
            <w:shd w:val="clear" w:color="auto" w:fill="auto"/>
            <w:vAlign w:val="center"/>
          </w:tcPr>
          <w:p w14:paraId="576D8D0A">
            <w:pPr>
              <w:widowControl/>
              <w:spacing w:line="40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（一）近三年一般公共预算收支</w:t>
            </w:r>
          </w:p>
        </w:tc>
      </w:tr>
      <w:tr w14:paraId="0D73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098" w:type="dxa"/>
            <w:vMerge w:val="restart"/>
            <w:shd w:val="clear" w:color="auto" w:fill="auto"/>
            <w:vAlign w:val="center"/>
          </w:tcPr>
          <w:p w14:paraId="4716A0D3">
            <w:pPr>
              <w:widowControl/>
              <w:spacing w:line="400" w:lineRule="exact"/>
              <w:ind w:firstLine="48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-6350</wp:posOffset>
                      </wp:positionV>
                      <wp:extent cx="1960245" cy="610870"/>
                      <wp:effectExtent l="1270" t="4445" r="19685" b="13335"/>
                      <wp:wrapNone/>
                      <wp:docPr id="3" name="直接箭头连接符 3"/>
                      <wp:cNvGraphicFramePr/>
                      <a:graphic xmlns:a="http://schemas.openxmlformats.org/drawingml/2006/main">
                        <a:graphicData uri="http://schemas.microsoft.com/office/word/2010/wordprocessingShape">
                          <wps:wsp>
                            <wps:cNvCnPr/>
                            <wps:spPr>
                              <a:xfrm>
                                <a:off x="0" y="0"/>
                                <a:ext cx="196024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0.5pt;height:48.1pt;width:154.35pt;z-index:251660288;mso-width-relative:page;mso-height-relative:page;" filled="f" stroked="t" coordsize="21600,21600" o:gfxdata="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XJwl1wAAAAgBAAAPAAAAAAAAAAEAIAAAACIAAABkcnMv&#10;ZG93bnJldi54bWxQSwECFAAUAAAACACHTuJAXAMjcQQCAADxAwAADgAAAAAAAAABACAAAAAmAQAA&#10;ZHJzL2Uyb0RvYy54bWxQSwUGAAAAAAYABgBZAQAAnAUAAAAA&#10;">
                      <v:fill on="f" focussize="0,0"/>
                      <v:stroke color="#000000" joinstyle="round"/>
                      <v:imagedata o:title=""/>
                      <o:lock v:ext="edit" aspectratio="f"/>
                    </v:shape>
                  </w:pict>
                </mc:Fallback>
              </mc:AlternateContent>
            </w:r>
            <w:r>
              <w:rPr>
                <w:rFonts w:hint="default" w:ascii="Times New Roman" w:hAnsi="Times New Roman" w:eastAsia="仿宋_GB2312" w:cs="Times New Roman"/>
                <w:kern w:val="0"/>
                <w:sz w:val="24"/>
                <w:highlight w:val="none"/>
              </w:rPr>
              <w:t xml:space="preserve">           年份</w:t>
            </w:r>
          </w:p>
          <w:p w14:paraId="5A2705BF">
            <w:pPr>
              <w:spacing w:line="40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项目</w:t>
            </w:r>
          </w:p>
        </w:tc>
        <w:tc>
          <w:tcPr>
            <w:tcW w:w="2282" w:type="dxa"/>
            <w:gridSpan w:val="5"/>
            <w:shd w:val="clear" w:color="auto" w:fill="auto"/>
            <w:noWrap/>
            <w:vAlign w:val="center"/>
          </w:tcPr>
          <w:p w14:paraId="4701B960">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w:t>
            </w:r>
          </w:p>
        </w:tc>
        <w:tc>
          <w:tcPr>
            <w:tcW w:w="2213" w:type="dxa"/>
            <w:gridSpan w:val="3"/>
            <w:shd w:val="clear" w:color="auto" w:fill="auto"/>
            <w:noWrap/>
            <w:vAlign w:val="center"/>
          </w:tcPr>
          <w:p w14:paraId="14AA3747">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eastAsia" w:cs="Times New Roman"/>
                <w:kern w:val="0"/>
                <w:sz w:val="24"/>
                <w:highlight w:val="none"/>
                <w:lang w:val="en" w:eastAsia="zh-CN"/>
              </w:rPr>
              <w:t>202</w:t>
            </w:r>
            <w:r>
              <w:rPr>
                <w:rFonts w:hint="eastAsia" w:cs="Times New Roman"/>
                <w:kern w:val="0"/>
                <w:sz w:val="24"/>
                <w:highlight w:val="none"/>
                <w:lang w:val="en-US" w:eastAsia="zh-CN"/>
              </w:rPr>
              <w:t>4</w:t>
            </w:r>
            <w:r>
              <w:rPr>
                <w:rFonts w:hint="eastAsia" w:cs="Times New Roman"/>
                <w:kern w:val="0"/>
                <w:sz w:val="24"/>
                <w:highlight w:val="none"/>
                <w:lang w:val="en" w:eastAsia="zh-CN"/>
              </w:rPr>
              <w:t>年</w:t>
            </w:r>
          </w:p>
        </w:tc>
        <w:tc>
          <w:tcPr>
            <w:tcW w:w="2130" w:type="dxa"/>
            <w:gridSpan w:val="4"/>
            <w:shd w:val="clear" w:color="auto" w:fill="auto"/>
            <w:noWrap/>
            <w:vAlign w:val="center"/>
          </w:tcPr>
          <w:p w14:paraId="41688ABB">
            <w:pPr>
              <w:widowControl/>
              <w:spacing w:line="400" w:lineRule="exact"/>
              <w:ind w:firstLine="480" w:firstLineChars="0"/>
              <w:jc w:val="center"/>
              <w:rPr>
                <w:rFonts w:hint="eastAsia" w:ascii="Times New Roman" w:hAnsi="Times New Roman" w:eastAsia="仿宋_GB2312" w:cs="Times New Roman"/>
                <w:kern w:val="0"/>
                <w:sz w:val="24"/>
                <w:highlight w:val="none"/>
                <w:lang w:val="en" w:eastAsia="zh-CN"/>
              </w:rPr>
            </w:pPr>
            <w:r>
              <w:rPr>
                <w:rFonts w:hint="eastAsia" w:cs="Times New Roman"/>
                <w:kern w:val="0"/>
                <w:sz w:val="24"/>
                <w:highlight w:val="none"/>
                <w:lang w:val="en" w:eastAsia="zh-CN"/>
              </w:rPr>
              <w:t>202</w:t>
            </w:r>
            <w:r>
              <w:rPr>
                <w:rFonts w:hint="eastAsia" w:cs="Times New Roman"/>
                <w:kern w:val="0"/>
                <w:sz w:val="24"/>
                <w:highlight w:val="none"/>
                <w:lang w:val="en-US" w:eastAsia="zh-CN"/>
              </w:rPr>
              <w:t>5</w:t>
            </w:r>
            <w:r>
              <w:rPr>
                <w:rFonts w:hint="eastAsia" w:cs="Times New Roman"/>
                <w:kern w:val="0"/>
                <w:sz w:val="24"/>
                <w:highlight w:val="none"/>
                <w:lang w:val="en" w:eastAsia="zh-CN"/>
              </w:rPr>
              <w:t>年</w:t>
            </w:r>
          </w:p>
        </w:tc>
      </w:tr>
      <w:tr w14:paraId="367F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3098" w:type="dxa"/>
            <w:vMerge w:val="continue"/>
            <w:shd w:val="clear" w:color="auto" w:fill="auto"/>
            <w:vAlign w:val="center"/>
          </w:tcPr>
          <w:p w14:paraId="6FC35206">
            <w:pPr>
              <w:widowControl/>
              <w:spacing w:line="400" w:lineRule="exact"/>
              <w:ind w:firstLine="480"/>
              <w:jc w:val="center"/>
              <w:rPr>
                <w:rFonts w:hint="default" w:ascii="Times New Roman" w:hAnsi="Times New Roman" w:eastAsia="仿宋_GB2312" w:cs="Times New Roman"/>
                <w:kern w:val="0"/>
                <w:sz w:val="24"/>
                <w:highlight w:val="none"/>
              </w:rPr>
            </w:pPr>
          </w:p>
        </w:tc>
        <w:tc>
          <w:tcPr>
            <w:tcW w:w="1120" w:type="dxa"/>
            <w:shd w:val="clear" w:color="auto" w:fill="auto"/>
            <w:noWrap/>
            <w:vAlign w:val="center"/>
          </w:tcPr>
          <w:p w14:paraId="5DEF88CE">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62" w:type="dxa"/>
            <w:gridSpan w:val="4"/>
            <w:shd w:val="clear" w:color="auto" w:fill="auto"/>
            <w:vAlign w:val="center"/>
          </w:tcPr>
          <w:p w14:paraId="76615736">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1031" w:type="dxa"/>
            <w:shd w:val="clear" w:color="auto" w:fill="auto"/>
            <w:noWrap/>
            <w:vAlign w:val="center"/>
          </w:tcPr>
          <w:p w14:paraId="04119DA6">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82" w:type="dxa"/>
            <w:gridSpan w:val="2"/>
            <w:shd w:val="clear" w:color="auto" w:fill="auto"/>
            <w:vAlign w:val="center"/>
          </w:tcPr>
          <w:p w14:paraId="34D67D40">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993" w:type="dxa"/>
            <w:gridSpan w:val="2"/>
            <w:shd w:val="clear" w:color="auto" w:fill="auto"/>
            <w:noWrap/>
            <w:vAlign w:val="center"/>
          </w:tcPr>
          <w:p w14:paraId="4F587593">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37" w:type="dxa"/>
            <w:gridSpan w:val="2"/>
            <w:shd w:val="clear" w:color="auto" w:fill="auto"/>
            <w:vAlign w:val="center"/>
          </w:tcPr>
          <w:p w14:paraId="3F5342E3">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r>
      <w:tr w14:paraId="6189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7F52338">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一般公共预算收入</w:t>
            </w:r>
          </w:p>
        </w:tc>
        <w:tc>
          <w:tcPr>
            <w:tcW w:w="1120" w:type="dxa"/>
            <w:shd w:val="clear" w:color="auto" w:fill="auto"/>
            <w:noWrap/>
            <w:vAlign w:val="center"/>
          </w:tcPr>
          <w:p w14:paraId="0BDA97F0">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993.</w:t>
            </w:r>
            <w:r>
              <w:rPr>
                <w:rFonts w:hint="default" w:ascii="Times New Roman" w:hAnsi="Times New Roman" w:cs="Times New Roman"/>
                <w:color w:val="auto"/>
                <w:kern w:val="0"/>
                <w:sz w:val="24"/>
                <w:highlight w:val="none"/>
                <w:lang w:val="en-US" w:eastAsia="zh-CN"/>
              </w:rPr>
              <w:t>5</w:t>
            </w:r>
          </w:p>
        </w:tc>
        <w:tc>
          <w:tcPr>
            <w:tcW w:w="1162" w:type="dxa"/>
            <w:gridSpan w:val="4"/>
            <w:shd w:val="clear" w:color="auto" w:fill="auto"/>
            <w:vAlign w:val="center"/>
          </w:tcPr>
          <w:p w14:paraId="59F10C0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5529.1</w:t>
            </w:r>
          </w:p>
        </w:tc>
        <w:tc>
          <w:tcPr>
            <w:tcW w:w="1031" w:type="dxa"/>
            <w:shd w:val="clear" w:color="auto" w:fill="auto"/>
            <w:noWrap/>
            <w:vAlign w:val="center"/>
          </w:tcPr>
          <w:p w14:paraId="658251E8">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975.1</w:t>
            </w:r>
          </w:p>
        </w:tc>
        <w:tc>
          <w:tcPr>
            <w:tcW w:w="1182" w:type="dxa"/>
            <w:gridSpan w:val="2"/>
            <w:shd w:val="clear" w:color="auto" w:fill="auto"/>
            <w:vAlign w:val="center"/>
          </w:tcPr>
          <w:p w14:paraId="716DC77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5635.1</w:t>
            </w:r>
          </w:p>
        </w:tc>
        <w:tc>
          <w:tcPr>
            <w:tcW w:w="993" w:type="dxa"/>
            <w:gridSpan w:val="2"/>
            <w:shd w:val="clear" w:color="auto" w:fill="auto"/>
            <w:noWrap/>
            <w:vAlign w:val="center"/>
          </w:tcPr>
          <w:p w14:paraId="6F2806B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963.0</w:t>
            </w:r>
          </w:p>
        </w:tc>
        <w:tc>
          <w:tcPr>
            <w:tcW w:w="1137" w:type="dxa"/>
            <w:gridSpan w:val="2"/>
            <w:shd w:val="clear" w:color="auto" w:fill="auto"/>
            <w:vAlign w:val="center"/>
          </w:tcPr>
          <w:p w14:paraId="2B6EF9D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5748.0</w:t>
            </w:r>
          </w:p>
        </w:tc>
      </w:tr>
      <w:tr w14:paraId="599F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15404D53">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一般公共预算支出</w:t>
            </w:r>
          </w:p>
        </w:tc>
        <w:tc>
          <w:tcPr>
            <w:tcW w:w="1120" w:type="dxa"/>
            <w:shd w:val="clear" w:color="auto" w:fill="auto"/>
            <w:noWrap/>
            <w:vAlign w:val="center"/>
          </w:tcPr>
          <w:p w14:paraId="7D566504">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2071</w:t>
            </w:r>
            <w:r>
              <w:rPr>
                <w:rFonts w:hint="default" w:ascii="Times New Roman" w:hAnsi="Times New Roman" w:cs="Times New Roman"/>
                <w:color w:val="auto"/>
                <w:kern w:val="0"/>
                <w:sz w:val="24"/>
                <w:highlight w:val="none"/>
                <w:lang w:val="en-US" w:eastAsia="zh-CN"/>
              </w:rPr>
              <w:t>.0</w:t>
            </w:r>
          </w:p>
        </w:tc>
        <w:tc>
          <w:tcPr>
            <w:tcW w:w="1162" w:type="dxa"/>
            <w:gridSpan w:val="4"/>
            <w:shd w:val="clear" w:color="auto" w:fill="auto"/>
            <w:vAlign w:val="center"/>
          </w:tcPr>
          <w:p w14:paraId="1511D3B4">
            <w:pPr>
              <w:widowControl/>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color w:val="auto"/>
                <w:kern w:val="0"/>
                <w:sz w:val="24"/>
                <w:highlight w:val="none"/>
                <w:lang w:val="en-US" w:eastAsia="zh-CN"/>
              </w:rPr>
              <w:t>1273</w:t>
            </w:r>
            <w:r>
              <w:rPr>
                <w:rFonts w:hint="default" w:ascii="Times New Roman" w:hAnsi="Times New Roman"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8</w:t>
            </w:r>
          </w:p>
        </w:tc>
        <w:tc>
          <w:tcPr>
            <w:tcW w:w="1031" w:type="dxa"/>
            <w:shd w:val="clear" w:color="auto" w:fill="auto"/>
            <w:noWrap/>
            <w:vAlign w:val="center"/>
          </w:tcPr>
          <w:p w14:paraId="0F61AFD0">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2241.8</w:t>
            </w:r>
          </w:p>
        </w:tc>
        <w:tc>
          <w:tcPr>
            <w:tcW w:w="1182" w:type="dxa"/>
            <w:gridSpan w:val="2"/>
            <w:shd w:val="clear" w:color="auto" w:fill="auto"/>
            <w:vAlign w:val="center"/>
          </w:tcPr>
          <w:p w14:paraId="56B85ACD">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13445.3</w:t>
            </w:r>
          </w:p>
        </w:tc>
        <w:tc>
          <w:tcPr>
            <w:tcW w:w="993" w:type="dxa"/>
            <w:gridSpan w:val="2"/>
            <w:shd w:val="clear" w:color="auto" w:fill="auto"/>
            <w:noWrap/>
            <w:vAlign w:val="center"/>
          </w:tcPr>
          <w:p w14:paraId="52F7313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2245.7</w:t>
            </w:r>
          </w:p>
        </w:tc>
        <w:tc>
          <w:tcPr>
            <w:tcW w:w="1137" w:type="dxa"/>
            <w:gridSpan w:val="2"/>
            <w:shd w:val="clear" w:color="auto" w:fill="auto"/>
            <w:vAlign w:val="center"/>
          </w:tcPr>
          <w:p w14:paraId="4F57EDA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13425.9</w:t>
            </w:r>
          </w:p>
        </w:tc>
      </w:tr>
      <w:tr w14:paraId="1978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098" w:type="dxa"/>
            <w:shd w:val="clear" w:color="auto" w:fill="auto"/>
            <w:vAlign w:val="center"/>
          </w:tcPr>
          <w:p w14:paraId="560FE1A1">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转移性收入</w:t>
            </w:r>
          </w:p>
        </w:tc>
        <w:tc>
          <w:tcPr>
            <w:tcW w:w="1120" w:type="dxa"/>
            <w:shd w:val="clear" w:color="auto" w:fill="auto"/>
            <w:noWrap/>
            <w:vAlign w:val="center"/>
          </w:tcPr>
          <w:p w14:paraId="6CC2BA33">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764</w:t>
            </w:r>
            <w:r>
              <w:rPr>
                <w:rFonts w:hint="default" w:ascii="Times New Roman" w:hAnsi="Times New Roman" w:cs="Times New Roman"/>
                <w:kern w:val="0"/>
                <w:sz w:val="24"/>
                <w:highlight w:val="none"/>
                <w:lang w:val="en-US" w:eastAsia="zh-CN"/>
              </w:rPr>
              <w:t>5</w:t>
            </w:r>
            <w:r>
              <w:rPr>
                <w:rFonts w:hint="default" w:ascii="Times New Roman" w:hAnsi="Times New Roman" w:cs="Times New Roman"/>
                <w:kern w:val="0"/>
                <w:sz w:val="24"/>
                <w:highlight w:val="none"/>
                <w:lang w:val="en" w:eastAsia="zh-CN"/>
              </w:rPr>
              <w:t>.</w:t>
            </w:r>
            <w:r>
              <w:rPr>
                <w:rFonts w:hint="default" w:ascii="Times New Roman" w:hAnsi="Times New Roman" w:cs="Times New Roman"/>
                <w:kern w:val="0"/>
                <w:sz w:val="24"/>
                <w:highlight w:val="none"/>
                <w:lang w:val="en-US" w:eastAsia="zh-CN"/>
              </w:rPr>
              <w:t>5</w:t>
            </w:r>
          </w:p>
        </w:tc>
        <w:tc>
          <w:tcPr>
            <w:tcW w:w="1162" w:type="dxa"/>
            <w:gridSpan w:val="4"/>
            <w:shd w:val="clear" w:color="auto" w:fill="auto"/>
            <w:vAlign w:val="center"/>
          </w:tcPr>
          <w:p w14:paraId="5C47C8EA">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9404.0</w:t>
            </w:r>
          </w:p>
        </w:tc>
        <w:tc>
          <w:tcPr>
            <w:tcW w:w="1031" w:type="dxa"/>
            <w:shd w:val="clear" w:color="auto" w:fill="auto"/>
            <w:noWrap/>
            <w:vAlign w:val="center"/>
          </w:tcPr>
          <w:p w14:paraId="44DBB81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7863.4</w:t>
            </w:r>
          </w:p>
        </w:tc>
        <w:tc>
          <w:tcPr>
            <w:tcW w:w="1182" w:type="dxa"/>
            <w:gridSpan w:val="2"/>
            <w:shd w:val="clear" w:color="auto" w:fill="auto"/>
            <w:vAlign w:val="center"/>
          </w:tcPr>
          <w:p w14:paraId="275B6C0A">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9736.5</w:t>
            </w:r>
          </w:p>
        </w:tc>
        <w:tc>
          <w:tcPr>
            <w:tcW w:w="993" w:type="dxa"/>
            <w:gridSpan w:val="2"/>
            <w:shd w:val="clear" w:color="auto" w:fill="auto"/>
            <w:noWrap/>
            <w:vAlign w:val="center"/>
          </w:tcPr>
          <w:p w14:paraId="3ADEFC6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6593.7</w:t>
            </w:r>
          </w:p>
        </w:tc>
        <w:tc>
          <w:tcPr>
            <w:tcW w:w="1137" w:type="dxa"/>
            <w:gridSpan w:val="2"/>
            <w:shd w:val="clear" w:color="auto" w:fill="auto"/>
            <w:vAlign w:val="center"/>
          </w:tcPr>
          <w:p w14:paraId="3DB5DFBE">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7615.2</w:t>
            </w:r>
          </w:p>
        </w:tc>
      </w:tr>
      <w:tr w14:paraId="49B0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3098" w:type="dxa"/>
            <w:shd w:val="clear" w:color="auto" w:fill="auto"/>
            <w:vAlign w:val="center"/>
          </w:tcPr>
          <w:p w14:paraId="24F6AAF6">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转移性支出</w:t>
            </w:r>
          </w:p>
        </w:tc>
        <w:tc>
          <w:tcPr>
            <w:tcW w:w="1120" w:type="dxa"/>
            <w:shd w:val="clear" w:color="auto" w:fill="auto"/>
            <w:noWrap/>
            <w:vAlign w:val="center"/>
          </w:tcPr>
          <w:p w14:paraId="6C680BCF">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73</w:t>
            </w:r>
            <w:r>
              <w:rPr>
                <w:rFonts w:hint="default" w:ascii="Times New Roman" w:hAnsi="Times New Roman" w:cs="Times New Roman"/>
                <w:kern w:val="0"/>
                <w:sz w:val="24"/>
                <w:highlight w:val="none"/>
                <w:lang w:val="en-US" w:eastAsia="zh-CN"/>
              </w:rPr>
              <w:t>59.0</w:t>
            </w:r>
          </w:p>
        </w:tc>
        <w:tc>
          <w:tcPr>
            <w:tcW w:w="1162" w:type="dxa"/>
            <w:gridSpan w:val="4"/>
            <w:shd w:val="clear" w:color="auto" w:fill="auto"/>
            <w:vAlign w:val="center"/>
          </w:tcPr>
          <w:p w14:paraId="1694675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1042.7</w:t>
            </w:r>
          </w:p>
        </w:tc>
        <w:tc>
          <w:tcPr>
            <w:tcW w:w="1031" w:type="dxa"/>
            <w:shd w:val="clear" w:color="auto" w:fill="auto"/>
            <w:noWrap/>
            <w:vAlign w:val="center"/>
          </w:tcPr>
          <w:p w14:paraId="382ADBFF">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7170.3</w:t>
            </w:r>
          </w:p>
        </w:tc>
        <w:tc>
          <w:tcPr>
            <w:tcW w:w="1182" w:type="dxa"/>
            <w:gridSpan w:val="2"/>
            <w:shd w:val="clear" w:color="auto" w:fill="auto"/>
            <w:vAlign w:val="center"/>
          </w:tcPr>
          <w:p w14:paraId="137C0CEB">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844.5</w:t>
            </w:r>
          </w:p>
        </w:tc>
        <w:tc>
          <w:tcPr>
            <w:tcW w:w="993" w:type="dxa"/>
            <w:gridSpan w:val="2"/>
            <w:shd w:val="clear" w:color="auto" w:fill="auto"/>
            <w:noWrap/>
            <w:vAlign w:val="center"/>
          </w:tcPr>
          <w:p w14:paraId="0D8ED3BE">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6223.4</w:t>
            </w:r>
          </w:p>
        </w:tc>
        <w:tc>
          <w:tcPr>
            <w:tcW w:w="1137" w:type="dxa"/>
            <w:gridSpan w:val="2"/>
            <w:shd w:val="clear" w:color="auto" w:fill="auto"/>
            <w:vAlign w:val="center"/>
          </w:tcPr>
          <w:p w14:paraId="498B99E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81.6</w:t>
            </w:r>
          </w:p>
        </w:tc>
      </w:tr>
      <w:tr w14:paraId="7F48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98" w:type="dxa"/>
            <w:shd w:val="clear" w:color="auto" w:fill="auto"/>
            <w:vAlign w:val="center"/>
          </w:tcPr>
          <w:p w14:paraId="2C0C899F">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地方政府一般债券收入</w:t>
            </w:r>
          </w:p>
        </w:tc>
        <w:tc>
          <w:tcPr>
            <w:tcW w:w="1120" w:type="dxa"/>
            <w:shd w:val="clear" w:color="auto" w:fill="auto"/>
            <w:noWrap/>
            <w:vAlign w:val="center"/>
          </w:tcPr>
          <w:p w14:paraId="7F98105A">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1417.2</w:t>
            </w:r>
          </w:p>
        </w:tc>
        <w:tc>
          <w:tcPr>
            <w:tcW w:w="1162" w:type="dxa"/>
            <w:gridSpan w:val="4"/>
            <w:shd w:val="clear" w:color="auto" w:fill="auto"/>
            <w:vAlign w:val="center"/>
          </w:tcPr>
          <w:p w14:paraId="0802675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1417.2</w:t>
            </w:r>
          </w:p>
        </w:tc>
        <w:tc>
          <w:tcPr>
            <w:tcW w:w="1031" w:type="dxa"/>
            <w:shd w:val="clear" w:color="auto" w:fill="auto"/>
            <w:noWrap/>
            <w:vAlign w:val="center"/>
          </w:tcPr>
          <w:p w14:paraId="3AE2A8B0">
            <w:pPr>
              <w:widowControl/>
              <w:spacing w:line="24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1061.7</w:t>
            </w:r>
          </w:p>
        </w:tc>
        <w:tc>
          <w:tcPr>
            <w:tcW w:w="1182" w:type="dxa"/>
            <w:gridSpan w:val="2"/>
            <w:shd w:val="clear" w:color="auto" w:fill="auto"/>
            <w:vAlign w:val="center"/>
          </w:tcPr>
          <w:p w14:paraId="3C117C6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1061.7</w:t>
            </w:r>
          </w:p>
        </w:tc>
        <w:tc>
          <w:tcPr>
            <w:tcW w:w="993" w:type="dxa"/>
            <w:gridSpan w:val="2"/>
            <w:shd w:val="clear" w:color="auto" w:fill="auto"/>
            <w:noWrap/>
            <w:vAlign w:val="center"/>
          </w:tcPr>
          <w:p w14:paraId="345121C8">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14:paraId="388F1D9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14:paraId="1EF5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723" w:type="dxa"/>
            <w:gridSpan w:val="13"/>
            <w:shd w:val="clear" w:color="auto" w:fill="auto"/>
            <w:vAlign w:val="center"/>
          </w:tcPr>
          <w:p w14:paraId="0F0A8916">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（二）近三年政府性基金</w:t>
            </w:r>
            <w:r>
              <w:rPr>
                <w:rFonts w:hint="default" w:ascii="Times New Roman" w:hAnsi="Times New Roman" w:cs="Times New Roman"/>
                <w:b/>
                <w:kern w:val="0"/>
                <w:sz w:val="24"/>
                <w:highlight w:val="none"/>
                <w:lang w:eastAsia="zh-CN"/>
              </w:rPr>
              <w:t>预算</w:t>
            </w:r>
            <w:r>
              <w:rPr>
                <w:rFonts w:hint="default" w:ascii="Times New Roman" w:hAnsi="Times New Roman" w:eastAsia="仿宋_GB2312" w:cs="Times New Roman"/>
                <w:b/>
                <w:kern w:val="0"/>
                <w:sz w:val="24"/>
                <w:highlight w:val="none"/>
              </w:rPr>
              <w:t>收支</w:t>
            </w:r>
          </w:p>
        </w:tc>
      </w:tr>
      <w:tr w14:paraId="40C0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1F9814C">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收入</w:t>
            </w:r>
          </w:p>
        </w:tc>
        <w:tc>
          <w:tcPr>
            <w:tcW w:w="1169" w:type="dxa"/>
            <w:gridSpan w:val="2"/>
            <w:shd w:val="clear" w:color="auto" w:fill="auto"/>
            <w:noWrap/>
            <w:vAlign w:val="center"/>
          </w:tcPr>
          <w:p w14:paraId="1E7FE45E">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129.1</w:t>
            </w:r>
          </w:p>
        </w:tc>
        <w:tc>
          <w:tcPr>
            <w:tcW w:w="1113" w:type="dxa"/>
            <w:gridSpan w:val="3"/>
            <w:shd w:val="clear" w:color="auto" w:fill="auto"/>
            <w:vAlign w:val="center"/>
          </w:tcPr>
          <w:p w14:paraId="7133E590">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4515.</w:t>
            </w:r>
            <w:r>
              <w:rPr>
                <w:rFonts w:hint="default" w:ascii="Times New Roman" w:hAnsi="Times New Roman" w:cs="Times New Roman"/>
                <w:color w:val="auto"/>
                <w:kern w:val="0"/>
                <w:sz w:val="24"/>
                <w:highlight w:val="none"/>
                <w:lang w:val="en-US" w:eastAsia="zh-CN"/>
              </w:rPr>
              <w:t>7</w:t>
            </w:r>
          </w:p>
        </w:tc>
        <w:tc>
          <w:tcPr>
            <w:tcW w:w="1087" w:type="dxa"/>
            <w:gridSpan w:val="2"/>
            <w:shd w:val="clear" w:color="auto" w:fill="auto"/>
            <w:noWrap/>
            <w:vAlign w:val="center"/>
          </w:tcPr>
          <w:p w14:paraId="6A664CB1">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131.9</w:t>
            </w:r>
          </w:p>
        </w:tc>
        <w:tc>
          <w:tcPr>
            <w:tcW w:w="1126" w:type="dxa"/>
            <w:shd w:val="clear" w:color="auto" w:fill="auto"/>
            <w:vAlign w:val="center"/>
          </w:tcPr>
          <w:p w14:paraId="359739DF">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3761.0</w:t>
            </w:r>
          </w:p>
        </w:tc>
        <w:tc>
          <w:tcPr>
            <w:tcW w:w="993" w:type="dxa"/>
            <w:gridSpan w:val="2"/>
            <w:shd w:val="clear" w:color="auto" w:fill="auto"/>
            <w:noWrap/>
            <w:vAlign w:val="center"/>
          </w:tcPr>
          <w:p w14:paraId="50C81D53">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121.7</w:t>
            </w:r>
          </w:p>
        </w:tc>
        <w:tc>
          <w:tcPr>
            <w:tcW w:w="1137" w:type="dxa"/>
            <w:gridSpan w:val="2"/>
            <w:shd w:val="clear" w:color="auto" w:fill="auto"/>
            <w:vAlign w:val="center"/>
          </w:tcPr>
          <w:p w14:paraId="1E21FA6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3173.2</w:t>
            </w:r>
          </w:p>
        </w:tc>
      </w:tr>
      <w:tr w14:paraId="7EF6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20598430">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支出</w:t>
            </w:r>
          </w:p>
        </w:tc>
        <w:tc>
          <w:tcPr>
            <w:tcW w:w="1169" w:type="dxa"/>
            <w:gridSpan w:val="2"/>
            <w:shd w:val="clear" w:color="auto" w:fill="auto"/>
            <w:noWrap/>
            <w:vAlign w:val="center"/>
          </w:tcPr>
          <w:p w14:paraId="5A94154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56.</w:t>
            </w:r>
            <w:r>
              <w:rPr>
                <w:rFonts w:hint="default" w:ascii="Times New Roman" w:hAnsi="Times New Roman" w:cs="Times New Roman"/>
                <w:color w:val="auto"/>
                <w:kern w:val="0"/>
                <w:sz w:val="24"/>
                <w:highlight w:val="none"/>
                <w:lang w:val="en-US" w:eastAsia="zh-CN"/>
              </w:rPr>
              <w:t>2</w:t>
            </w:r>
          </w:p>
        </w:tc>
        <w:tc>
          <w:tcPr>
            <w:tcW w:w="1113" w:type="dxa"/>
            <w:gridSpan w:val="3"/>
            <w:shd w:val="clear" w:color="auto" w:fill="auto"/>
            <w:vAlign w:val="center"/>
          </w:tcPr>
          <w:p w14:paraId="3941DCE9">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6207</w:t>
            </w:r>
            <w:r>
              <w:rPr>
                <w:rFonts w:hint="default" w:ascii="Times New Roman" w:hAnsi="Times New Roman" w:cs="Times New Roman"/>
                <w:color w:val="auto"/>
                <w:kern w:val="0"/>
                <w:sz w:val="24"/>
                <w:highlight w:val="none"/>
                <w:lang w:val="en-US" w:eastAsia="zh-CN"/>
              </w:rPr>
              <w:t>.0</w:t>
            </w:r>
          </w:p>
        </w:tc>
        <w:tc>
          <w:tcPr>
            <w:tcW w:w="1087" w:type="dxa"/>
            <w:gridSpan w:val="2"/>
            <w:shd w:val="clear" w:color="auto" w:fill="auto"/>
            <w:noWrap/>
            <w:vAlign w:val="center"/>
          </w:tcPr>
          <w:p w14:paraId="04314078">
            <w:pPr>
              <w:widowControl/>
              <w:spacing w:line="240" w:lineRule="exact"/>
              <w:jc w:val="right"/>
              <w:rPr>
                <w:rFonts w:hint="default" w:ascii="Times New Roman" w:hAnsi="Times New Roman" w:eastAsia="仿宋_GB2312" w:cs="Times New Roman"/>
                <w:color w:val="auto"/>
                <w:kern w:val="0"/>
                <w:sz w:val="24"/>
                <w:highlight w:val="yellow"/>
                <w:lang w:val="en" w:eastAsia="zh-CN"/>
              </w:rPr>
            </w:pPr>
            <w:r>
              <w:rPr>
                <w:rFonts w:hint="eastAsia" w:cs="Times New Roman"/>
                <w:color w:val="auto"/>
                <w:kern w:val="0"/>
                <w:sz w:val="24"/>
                <w:highlight w:val="none"/>
                <w:lang w:val="en-US" w:eastAsia="zh-CN"/>
              </w:rPr>
              <w:t>160.8</w:t>
            </w:r>
          </w:p>
        </w:tc>
        <w:tc>
          <w:tcPr>
            <w:tcW w:w="1126" w:type="dxa"/>
            <w:shd w:val="clear" w:color="auto" w:fill="auto"/>
            <w:vAlign w:val="center"/>
          </w:tcPr>
          <w:p w14:paraId="4038CD30">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6036.3</w:t>
            </w:r>
          </w:p>
        </w:tc>
        <w:tc>
          <w:tcPr>
            <w:tcW w:w="993" w:type="dxa"/>
            <w:gridSpan w:val="2"/>
            <w:shd w:val="clear" w:color="auto" w:fill="auto"/>
            <w:noWrap/>
            <w:vAlign w:val="center"/>
          </w:tcPr>
          <w:p w14:paraId="5528DC8D">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234</w:t>
            </w:r>
          </w:p>
        </w:tc>
        <w:tc>
          <w:tcPr>
            <w:tcW w:w="1137" w:type="dxa"/>
            <w:gridSpan w:val="2"/>
            <w:shd w:val="clear" w:color="auto" w:fill="auto"/>
            <w:vAlign w:val="center"/>
          </w:tcPr>
          <w:p w14:paraId="41B33917">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5096.3</w:t>
            </w:r>
          </w:p>
        </w:tc>
      </w:tr>
      <w:tr w14:paraId="5E12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3098" w:type="dxa"/>
            <w:shd w:val="clear" w:color="auto" w:fill="auto"/>
            <w:vAlign w:val="center"/>
          </w:tcPr>
          <w:p w14:paraId="237B778E">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地方政府专项债券收入</w:t>
            </w:r>
          </w:p>
        </w:tc>
        <w:tc>
          <w:tcPr>
            <w:tcW w:w="1169" w:type="dxa"/>
            <w:gridSpan w:val="2"/>
            <w:shd w:val="clear" w:color="auto" w:fill="auto"/>
            <w:noWrap/>
            <w:vAlign w:val="center"/>
          </w:tcPr>
          <w:p w14:paraId="2725F1DF">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113" w:type="dxa"/>
            <w:gridSpan w:val="3"/>
            <w:shd w:val="clear" w:color="auto" w:fill="auto"/>
            <w:vAlign w:val="center"/>
          </w:tcPr>
          <w:p w14:paraId="335740DB">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087" w:type="dxa"/>
            <w:gridSpan w:val="2"/>
            <w:shd w:val="clear" w:color="auto" w:fill="auto"/>
            <w:noWrap/>
            <w:vAlign w:val="center"/>
          </w:tcPr>
          <w:p w14:paraId="55FAAFE4">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1126" w:type="dxa"/>
            <w:shd w:val="clear" w:color="auto" w:fill="auto"/>
            <w:vAlign w:val="center"/>
          </w:tcPr>
          <w:p w14:paraId="2C48435F">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993" w:type="dxa"/>
            <w:gridSpan w:val="2"/>
            <w:shd w:val="clear" w:color="auto" w:fill="auto"/>
            <w:noWrap/>
            <w:vAlign w:val="center"/>
          </w:tcPr>
          <w:p w14:paraId="7774FEC0">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14:paraId="280185C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14:paraId="1B2B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723" w:type="dxa"/>
            <w:gridSpan w:val="13"/>
            <w:shd w:val="clear" w:color="auto" w:fill="auto"/>
            <w:vAlign w:val="center"/>
          </w:tcPr>
          <w:p w14:paraId="7FC94510">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（三）近三年国有资本经营预算收支</w:t>
            </w:r>
          </w:p>
        </w:tc>
      </w:tr>
      <w:tr w14:paraId="2EF1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DD077AE">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国有资本经营预算收入</w:t>
            </w:r>
          </w:p>
        </w:tc>
        <w:tc>
          <w:tcPr>
            <w:tcW w:w="1169" w:type="dxa"/>
            <w:gridSpan w:val="2"/>
            <w:shd w:val="clear" w:color="auto" w:fill="auto"/>
            <w:noWrap/>
            <w:vAlign w:val="center"/>
          </w:tcPr>
          <w:p w14:paraId="5EDD5E2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30.6</w:t>
            </w:r>
          </w:p>
        </w:tc>
        <w:tc>
          <w:tcPr>
            <w:tcW w:w="1113" w:type="dxa"/>
            <w:gridSpan w:val="3"/>
            <w:shd w:val="clear" w:color="auto" w:fill="auto"/>
            <w:vAlign w:val="center"/>
          </w:tcPr>
          <w:p w14:paraId="37DA4DEC">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16</w:t>
            </w:r>
            <w:r>
              <w:rPr>
                <w:rFonts w:hint="default" w:ascii="Times New Roman" w:hAnsi="Times New Roman" w:cs="Times New Roman"/>
                <w:color w:val="auto"/>
                <w:kern w:val="0"/>
                <w:sz w:val="24"/>
                <w:highlight w:val="none"/>
                <w:lang w:val="en-US" w:eastAsia="zh-CN"/>
              </w:rPr>
              <w:t>4.0</w:t>
            </w:r>
          </w:p>
        </w:tc>
        <w:tc>
          <w:tcPr>
            <w:tcW w:w="1087" w:type="dxa"/>
            <w:gridSpan w:val="2"/>
            <w:shd w:val="clear" w:color="auto" w:fill="auto"/>
            <w:noWrap/>
            <w:vAlign w:val="center"/>
          </w:tcPr>
          <w:p w14:paraId="0B2B67A1">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31.3</w:t>
            </w:r>
          </w:p>
        </w:tc>
        <w:tc>
          <w:tcPr>
            <w:tcW w:w="1126" w:type="dxa"/>
            <w:shd w:val="clear" w:color="auto" w:fill="auto"/>
            <w:vAlign w:val="center"/>
          </w:tcPr>
          <w:p w14:paraId="31F14A2D">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201.8</w:t>
            </w:r>
          </w:p>
        </w:tc>
        <w:tc>
          <w:tcPr>
            <w:tcW w:w="1020" w:type="dxa"/>
            <w:gridSpan w:val="3"/>
            <w:shd w:val="clear" w:color="auto" w:fill="auto"/>
            <w:noWrap/>
            <w:vAlign w:val="center"/>
          </w:tcPr>
          <w:p w14:paraId="51B8B05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27</w:t>
            </w:r>
          </w:p>
        </w:tc>
        <w:tc>
          <w:tcPr>
            <w:tcW w:w="1110" w:type="dxa"/>
            <w:shd w:val="clear" w:color="auto" w:fill="auto"/>
            <w:vAlign w:val="center"/>
          </w:tcPr>
          <w:p w14:paraId="295E8513">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226.7</w:t>
            </w:r>
          </w:p>
        </w:tc>
      </w:tr>
      <w:tr w14:paraId="6EDA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5129047">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国有资本经营预算支出</w:t>
            </w:r>
          </w:p>
        </w:tc>
        <w:tc>
          <w:tcPr>
            <w:tcW w:w="1169" w:type="dxa"/>
            <w:gridSpan w:val="2"/>
            <w:shd w:val="clear" w:color="auto" w:fill="auto"/>
            <w:noWrap/>
            <w:vAlign w:val="center"/>
          </w:tcPr>
          <w:p w14:paraId="28723EC9">
            <w:pPr>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sz w:val="24"/>
                <w:highlight w:val="none"/>
                <w:lang w:val="en-US" w:eastAsia="zh-CN"/>
              </w:rPr>
              <w:t>23.0</w:t>
            </w:r>
          </w:p>
        </w:tc>
        <w:tc>
          <w:tcPr>
            <w:tcW w:w="1113" w:type="dxa"/>
            <w:gridSpan w:val="3"/>
            <w:shd w:val="clear" w:color="auto" w:fill="auto"/>
            <w:vAlign w:val="center"/>
          </w:tcPr>
          <w:p w14:paraId="4FFEC156">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8</w:t>
            </w:r>
            <w:r>
              <w:rPr>
                <w:rFonts w:hint="default" w:ascii="Times New Roman" w:hAnsi="Times New Roman" w:cs="Times New Roman"/>
                <w:color w:val="auto"/>
                <w:kern w:val="0"/>
                <w:sz w:val="24"/>
                <w:highlight w:val="none"/>
                <w:lang w:val="en-US" w:eastAsia="zh-CN"/>
              </w:rPr>
              <w:t>1</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3</w:t>
            </w:r>
          </w:p>
        </w:tc>
        <w:tc>
          <w:tcPr>
            <w:tcW w:w="1087" w:type="dxa"/>
            <w:gridSpan w:val="2"/>
            <w:shd w:val="clear" w:color="auto" w:fill="auto"/>
            <w:noWrap/>
            <w:vAlign w:val="center"/>
          </w:tcPr>
          <w:p w14:paraId="31A2E3AE">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16.4</w:t>
            </w:r>
          </w:p>
        </w:tc>
        <w:tc>
          <w:tcPr>
            <w:tcW w:w="1126" w:type="dxa"/>
            <w:shd w:val="clear" w:color="auto" w:fill="auto"/>
            <w:vAlign w:val="center"/>
          </w:tcPr>
          <w:p w14:paraId="0736BA53">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91.2</w:t>
            </w:r>
          </w:p>
        </w:tc>
        <w:tc>
          <w:tcPr>
            <w:tcW w:w="1020" w:type="dxa"/>
            <w:gridSpan w:val="3"/>
            <w:shd w:val="clear" w:color="auto" w:fill="auto"/>
            <w:noWrap/>
            <w:vAlign w:val="center"/>
          </w:tcPr>
          <w:p w14:paraId="6B5B7C4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20</w:t>
            </w:r>
          </w:p>
        </w:tc>
        <w:tc>
          <w:tcPr>
            <w:tcW w:w="1110" w:type="dxa"/>
            <w:shd w:val="clear" w:color="auto" w:fill="auto"/>
            <w:vAlign w:val="center"/>
          </w:tcPr>
          <w:p w14:paraId="53BDD2CD">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147.1</w:t>
            </w:r>
          </w:p>
        </w:tc>
      </w:tr>
      <w:tr w14:paraId="2E60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723" w:type="dxa"/>
            <w:gridSpan w:val="13"/>
            <w:shd w:val="clear" w:color="auto" w:fill="auto"/>
            <w:vAlign w:val="center"/>
          </w:tcPr>
          <w:p w14:paraId="3B27BCE5">
            <w:pPr>
              <w:widowControl/>
              <w:spacing w:line="240" w:lineRule="exact"/>
              <w:ind w:right="840" w:firstLine="472" w:firstLineChars="196"/>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（四）近三年地方政府债券还本支出情况</w:t>
            </w:r>
          </w:p>
        </w:tc>
      </w:tr>
      <w:tr w14:paraId="5267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1531769">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地方政府一般债券还本支出</w:t>
            </w:r>
          </w:p>
        </w:tc>
        <w:tc>
          <w:tcPr>
            <w:tcW w:w="1169" w:type="dxa"/>
            <w:gridSpan w:val="2"/>
            <w:shd w:val="clear" w:color="auto" w:fill="auto"/>
            <w:noWrap/>
            <w:vAlign w:val="center"/>
          </w:tcPr>
          <w:p w14:paraId="3B151C4B">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179.</w:t>
            </w:r>
            <w:r>
              <w:rPr>
                <w:rFonts w:hint="default" w:ascii="Times New Roman" w:hAnsi="Times New Roman" w:cs="Times New Roman"/>
                <w:kern w:val="0"/>
                <w:sz w:val="24"/>
                <w:highlight w:val="none"/>
                <w:lang w:val="en-US" w:eastAsia="zh-CN"/>
              </w:rPr>
              <w:t>4</w:t>
            </w:r>
          </w:p>
        </w:tc>
        <w:tc>
          <w:tcPr>
            <w:tcW w:w="1113" w:type="dxa"/>
            <w:gridSpan w:val="3"/>
            <w:shd w:val="clear" w:color="auto" w:fill="auto"/>
            <w:vAlign w:val="center"/>
          </w:tcPr>
          <w:p w14:paraId="638FBA7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983.0</w:t>
            </w:r>
          </w:p>
        </w:tc>
        <w:tc>
          <w:tcPr>
            <w:tcW w:w="1087" w:type="dxa"/>
            <w:gridSpan w:val="2"/>
            <w:shd w:val="clear" w:color="auto" w:fill="auto"/>
            <w:noWrap/>
            <w:vAlign w:val="center"/>
          </w:tcPr>
          <w:p w14:paraId="3641D8C0">
            <w:pPr>
              <w:widowControl/>
              <w:spacing w:line="240" w:lineRule="exact"/>
              <w:jc w:val="right"/>
              <w:rPr>
                <w:rFonts w:hint="default" w:ascii="Times New Roman" w:hAnsi="Times New Roman" w:eastAsia="仿宋_GB2312" w:cs="Times New Roman"/>
                <w:sz w:val="24"/>
                <w:highlight w:val="none"/>
                <w:lang w:val="en-US"/>
              </w:rPr>
            </w:pPr>
            <w:r>
              <w:rPr>
                <w:rFonts w:hint="eastAsia" w:cs="Times New Roman"/>
                <w:sz w:val="24"/>
                <w:highlight w:val="none"/>
                <w:lang w:val="en-US" w:eastAsia="zh-CN"/>
              </w:rPr>
              <w:t>82.8</w:t>
            </w:r>
          </w:p>
        </w:tc>
        <w:tc>
          <w:tcPr>
            <w:tcW w:w="1126" w:type="dxa"/>
            <w:shd w:val="clear" w:color="auto" w:fill="auto"/>
            <w:vAlign w:val="center"/>
          </w:tcPr>
          <w:p w14:paraId="763BCE5D">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602.4</w:t>
            </w:r>
          </w:p>
        </w:tc>
        <w:tc>
          <w:tcPr>
            <w:tcW w:w="1020" w:type="dxa"/>
            <w:gridSpan w:val="3"/>
            <w:shd w:val="clear" w:color="auto" w:fill="auto"/>
            <w:noWrap/>
            <w:vAlign w:val="center"/>
          </w:tcPr>
          <w:p w14:paraId="3E72DD0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109.3</w:t>
            </w:r>
          </w:p>
        </w:tc>
        <w:tc>
          <w:tcPr>
            <w:tcW w:w="1110" w:type="dxa"/>
            <w:shd w:val="clear" w:color="auto" w:fill="auto"/>
            <w:vAlign w:val="center"/>
          </w:tcPr>
          <w:p w14:paraId="7B67CB7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908.7</w:t>
            </w:r>
          </w:p>
        </w:tc>
      </w:tr>
      <w:tr w14:paraId="1064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15A347D">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地方政府专项债券还本支出</w:t>
            </w:r>
          </w:p>
        </w:tc>
        <w:tc>
          <w:tcPr>
            <w:tcW w:w="1169" w:type="dxa"/>
            <w:gridSpan w:val="2"/>
            <w:shd w:val="clear" w:color="auto" w:fill="auto"/>
            <w:noWrap/>
            <w:vAlign w:val="center"/>
          </w:tcPr>
          <w:p w14:paraId="3661A1B5">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0</w:t>
            </w:r>
          </w:p>
        </w:tc>
        <w:tc>
          <w:tcPr>
            <w:tcW w:w="1113" w:type="dxa"/>
            <w:gridSpan w:val="3"/>
            <w:shd w:val="clear" w:color="auto" w:fill="auto"/>
            <w:vAlign w:val="center"/>
          </w:tcPr>
          <w:p w14:paraId="44D4FA0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925.2</w:t>
            </w:r>
          </w:p>
        </w:tc>
        <w:tc>
          <w:tcPr>
            <w:tcW w:w="1087" w:type="dxa"/>
            <w:gridSpan w:val="2"/>
            <w:shd w:val="clear" w:color="auto" w:fill="auto"/>
            <w:noWrap/>
            <w:vAlign w:val="center"/>
          </w:tcPr>
          <w:p w14:paraId="3A791A44">
            <w:pPr>
              <w:widowControl/>
              <w:spacing w:line="240" w:lineRule="exact"/>
              <w:jc w:val="right"/>
              <w:rPr>
                <w:rFonts w:hint="default" w:ascii="Times New Roman" w:hAnsi="Times New Roman" w:eastAsia="仿宋_GB2312" w:cs="Times New Roman"/>
                <w:sz w:val="24"/>
                <w:highlight w:val="none"/>
              </w:rPr>
            </w:pPr>
            <w:r>
              <w:rPr>
                <w:rFonts w:hint="eastAsia" w:cs="Times New Roman"/>
                <w:sz w:val="24"/>
                <w:highlight w:val="none"/>
                <w:lang w:val="en-US" w:eastAsia="zh-CN"/>
              </w:rPr>
              <w:t>0</w:t>
            </w:r>
          </w:p>
        </w:tc>
        <w:tc>
          <w:tcPr>
            <w:tcW w:w="1126" w:type="dxa"/>
            <w:shd w:val="clear" w:color="auto" w:fill="auto"/>
            <w:vAlign w:val="center"/>
          </w:tcPr>
          <w:p w14:paraId="70F3A49C">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1982.6</w:t>
            </w:r>
          </w:p>
        </w:tc>
        <w:tc>
          <w:tcPr>
            <w:tcW w:w="1020" w:type="dxa"/>
            <w:gridSpan w:val="3"/>
            <w:shd w:val="clear" w:color="auto" w:fill="auto"/>
            <w:noWrap/>
            <w:vAlign w:val="center"/>
          </w:tcPr>
          <w:p w14:paraId="7E6C3CD7">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0</w:t>
            </w:r>
          </w:p>
        </w:tc>
        <w:tc>
          <w:tcPr>
            <w:tcW w:w="1110" w:type="dxa"/>
            <w:shd w:val="clear" w:color="auto" w:fill="auto"/>
            <w:vAlign w:val="center"/>
          </w:tcPr>
          <w:p w14:paraId="7CC1949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1530.4</w:t>
            </w:r>
          </w:p>
        </w:tc>
      </w:tr>
      <w:tr w14:paraId="39AD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723" w:type="dxa"/>
            <w:gridSpan w:val="13"/>
            <w:shd w:val="clear" w:color="auto" w:fill="auto"/>
            <w:noWrap/>
            <w:vAlign w:val="center"/>
          </w:tcPr>
          <w:p w14:paraId="0D5ECF5A">
            <w:pPr>
              <w:widowControl/>
              <w:spacing w:line="24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三、地方政府债务状况（亿元）</w:t>
            </w:r>
          </w:p>
        </w:tc>
      </w:tr>
      <w:tr w14:paraId="133E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14:paraId="3F8C9F72">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截至202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年底地方政府债务余额</w:t>
            </w:r>
          </w:p>
        </w:tc>
        <w:tc>
          <w:tcPr>
            <w:tcW w:w="4993" w:type="dxa"/>
            <w:gridSpan w:val="9"/>
            <w:shd w:val="clear" w:color="auto" w:fill="auto"/>
            <w:noWrap/>
            <w:vAlign w:val="center"/>
          </w:tcPr>
          <w:p w14:paraId="1845399F">
            <w:pPr>
              <w:widowControl/>
              <w:spacing w:line="240" w:lineRule="exact"/>
              <w:ind w:firstLine="480"/>
              <w:jc w:val="right"/>
              <w:rPr>
                <w:rFonts w:hint="default" w:ascii="Times New Roman" w:hAnsi="Times New Roman" w:eastAsia="仿宋_GB2312" w:cs="Times New Roman"/>
                <w:kern w:val="0"/>
                <w:sz w:val="24"/>
                <w:highlight w:val="none"/>
                <w:lang w:val="en-US" w:eastAsia="zh-CN"/>
              </w:rPr>
            </w:pPr>
            <w:r>
              <w:rPr>
                <w:rFonts w:hint="eastAsia" w:cs="Times New Roman"/>
                <w:kern w:val="0"/>
                <w:sz w:val="24"/>
                <w:highlight w:val="none"/>
                <w:lang w:val="en-US" w:eastAsia="zh-CN"/>
              </w:rPr>
              <w:t>24028.9</w:t>
            </w:r>
          </w:p>
        </w:tc>
      </w:tr>
      <w:tr w14:paraId="0BF3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14:paraId="4D79C0A6">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年地方政府债务限额</w:t>
            </w:r>
          </w:p>
        </w:tc>
        <w:tc>
          <w:tcPr>
            <w:tcW w:w="4993" w:type="dxa"/>
            <w:gridSpan w:val="9"/>
            <w:shd w:val="clear" w:color="auto" w:fill="auto"/>
            <w:noWrap/>
            <w:vAlign w:val="center"/>
          </w:tcPr>
          <w:p w14:paraId="2192A182">
            <w:pPr>
              <w:widowControl/>
              <w:spacing w:line="240" w:lineRule="exact"/>
              <w:ind w:firstLine="480"/>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26902.7</w:t>
            </w:r>
          </w:p>
        </w:tc>
      </w:tr>
    </w:tbl>
    <w:p w14:paraId="24C46DCA">
      <w:pPr>
        <w:pStyle w:val="4"/>
        <w:snapToGrid w:val="0"/>
        <w:spacing w:line="300" w:lineRule="exact"/>
        <w:ind w:left="735" w:hanging="735" w:hangingChars="350"/>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注：1、经济数据</w:t>
      </w:r>
      <w:r>
        <w:rPr>
          <w:rFonts w:hint="default" w:ascii="Times New Roman" w:hAnsi="Times New Roman" w:eastAsia="仿宋_GB2312" w:cs="Times New Roman"/>
          <w:color w:val="000000" w:themeColor="text1"/>
          <w:highlight w:val="none"/>
          <w:lang w:eastAsia="zh-CN"/>
          <w14:textFill>
            <w14:solidFill>
              <w14:schemeClr w14:val="tx1"/>
            </w14:solidFill>
          </w14:textFill>
        </w:rPr>
        <w:t>来源于四川省统计局</w:t>
      </w:r>
    </w:p>
    <w:p w14:paraId="117EAD49">
      <w:pPr>
        <w:pStyle w:val="4"/>
        <w:snapToGrid w:val="0"/>
        <w:spacing w:line="300" w:lineRule="exact"/>
        <w:ind w:firstLine="42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000000" w:themeColor="text1"/>
          <w:highlight w:val="none"/>
          <w14:textFill>
            <w14:solidFill>
              <w14:schemeClr w14:val="tx1"/>
            </w14:solidFill>
          </w14:textFill>
        </w:rPr>
        <w:t>2、财政数据中202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highlight w:val="none"/>
          <w14:textFill>
            <w14:solidFill>
              <w14:schemeClr w14:val="tx1"/>
            </w14:solidFill>
          </w14:textFill>
        </w:rPr>
        <w:t>年</w:t>
      </w:r>
      <w:r>
        <w:rPr>
          <w:rFonts w:hint="default" w:ascii="Times New Roman" w:hAnsi="Times New Roman" w:eastAsia="仿宋_GB2312" w:cs="Times New Roman"/>
          <w:color w:val="000000" w:themeColor="text1"/>
          <w:highlight w:val="none"/>
          <w:lang w:eastAsia="zh-CN"/>
          <w14:textFill>
            <w14:solidFill>
              <w14:schemeClr w14:val="tx1"/>
            </w14:solidFill>
          </w14:textFill>
        </w:rPr>
        <w:t>为决算数，</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年</w:t>
      </w:r>
      <w:r>
        <w:rPr>
          <w:rFonts w:hint="default" w:ascii="Times New Roman" w:hAnsi="Times New Roman" w:eastAsia="仿宋_GB2312" w:cs="Times New Roman"/>
          <w:color w:val="000000" w:themeColor="text1"/>
          <w:highlight w:val="none"/>
          <w14:textFill>
            <w14:solidFill>
              <w14:schemeClr w14:val="tx1"/>
            </w14:solidFill>
          </w14:textFill>
        </w:rPr>
        <w:t>为</w:t>
      </w:r>
      <w:r>
        <w:rPr>
          <w:rFonts w:hint="eastAsia" w:ascii="Times New Roman" w:hAnsi="Times New Roman" w:eastAsia="仿宋_GB2312" w:cs="Times New Roman"/>
          <w:color w:val="000000" w:themeColor="text1"/>
          <w:highlight w:val="none"/>
          <w:lang w:eastAsia="zh-CN"/>
          <w14:textFill>
            <w14:solidFill>
              <w14:schemeClr w14:val="tx1"/>
            </w14:solidFill>
          </w14:textFill>
        </w:rPr>
        <w:t>预算执行</w:t>
      </w:r>
      <w:r>
        <w:rPr>
          <w:rFonts w:hint="default" w:ascii="Times New Roman" w:hAnsi="Times New Roman" w:eastAsia="仿宋_GB2312" w:cs="Times New Roman"/>
          <w:color w:val="000000" w:themeColor="text1"/>
          <w:highlight w:val="none"/>
          <w14:textFill>
            <w14:solidFill>
              <w14:schemeClr w14:val="tx1"/>
            </w14:solidFill>
          </w14:textFill>
        </w:rPr>
        <w:t>数</w:t>
      </w:r>
      <w:r>
        <w:rPr>
          <w:rFonts w:hint="default" w:ascii="Times New Roman" w:hAnsi="Times New Roman" w:eastAsia="仿宋_GB2312" w:cs="Times New Roman"/>
          <w:color w:val="000000" w:themeColor="text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2025年</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为预算数</w:t>
      </w:r>
      <w:r>
        <w:rPr>
          <w:rFonts w:hint="default" w:ascii="Times New Roman" w:hAnsi="Times New Roman" w:eastAsia="仿宋_GB2312" w:cs="Times New Roman"/>
          <w:color w:val="000000" w:themeColor="text1"/>
          <w:highlight w:val="none"/>
          <w14:textFill>
            <w14:solidFill>
              <w14:schemeClr w14:val="tx1"/>
            </w14:solidFill>
          </w14:textFill>
        </w:rPr>
        <w:t>。</w:t>
      </w:r>
    </w:p>
    <w:p w14:paraId="41B1BA71">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五、四川省地方政府债务管理情况</w:t>
      </w:r>
    </w:p>
    <w:p w14:paraId="19AF7193">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（一）四川省地方政府债务基本情况。</w:t>
      </w:r>
    </w:p>
    <w:p w14:paraId="2EA3747E">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rPr>
        <w:t>全省</w:t>
      </w:r>
      <w:r>
        <w:rPr>
          <w:rFonts w:hint="default" w:ascii="Times New Roman" w:hAnsi="Times New Roman" w:eastAsia="仿宋_GB2312" w:cs="Times New Roman"/>
          <w:color w:val="auto"/>
          <w:sz w:val="32"/>
          <w:szCs w:val="32"/>
          <w:highlight w:val="none"/>
        </w:rPr>
        <w:t>债务余额为</w:t>
      </w:r>
      <w:r>
        <w:rPr>
          <w:rFonts w:hint="eastAsia" w:ascii="Times New Roman" w:hAnsi="Times New Roman" w:eastAsia="仿宋_GB2312" w:cs="Times New Roman"/>
          <w:color w:val="auto"/>
          <w:sz w:val="32"/>
          <w:szCs w:val="32"/>
          <w:highlight w:val="none"/>
          <w:lang w:val="en-US" w:eastAsia="zh-CN"/>
        </w:rPr>
        <w:t>24028.9</w:t>
      </w:r>
      <w:r>
        <w:rPr>
          <w:rFonts w:hint="default" w:ascii="Times New Roman" w:hAnsi="Times New Roman" w:eastAsia="仿宋_GB2312" w:cs="Times New Roman"/>
          <w:color w:val="auto"/>
          <w:sz w:val="32"/>
          <w:szCs w:val="32"/>
          <w:highlight w:val="none"/>
        </w:rPr>
        <w:t>亿元，控制在国务院</w:t>
      </w:r>
      <w:r>
        <w:rPr>
          <w:rFonts w:hint="default" w:ascii="Times New Roman" w:hAnsi="Times New Roman" w:eastAsia="仿宋_GB2312" w:cs="Times New Roman"/>
          <w:color w:val="auto"/>
          <w:sz w:val="32"/>
          <w:szCs w:val="32"/>
          <w:highlight w:val="none"/>
          <w:lang w:val="en-US" w:eastAsia="zh-CN"/>
        </w:rPr>
        <w:t>批准</w:t>
      </w:r>
      <w:r>
        <w:rPr>
          <w:rFonts w:hint="default" w:ascii="Times New Roman" w:hAnsi="Times New Roman" w:eastAsia="仿宋_GB2312" w:cs="Times New Roman"/>
          <w:color w:val="auto"/>
          <w:sz w:val="32"/>
          <w:szCs w:val="32"/>
          <w:highlight w:val="none"/>
        </w:rPr>
        <w:t>的</w:t>
      </w:r>
      <w:r>
        <w:rPr>
          <w:rFonts w:hint="eastAsia" w:ascii="Times New Roman" w:hAnsi="Times New Roman" w:eastAsia="仿宋_GB2312" w:cs="Times New Roman"/>
          <w:color w:val="auto"/>
          <w:sz w:val="32"/>
          <w:szCs w:val="32"/>
          <w:highlight w:val="none"/>
          <w:lang w:val="en-US" w:eastAsia="zh-CN"/>
        </w:rPr>
        <w:t>26902.7</w:t>
      </w:r>
      <w:r>
        <w:rPr>
          <w:rFonts w:hint="default" w:ascii="Times New Roman" w:hAnsi="Times New Roman" w:eastAsia="仿宋_GB2312" w:cs="Times New Roman"/>
          <w:color w:val="auto"/>
          <w:sz w:val="32"/>
          <w:szCs w:val="32"/>
          <w:highlight w:val="none"/>
          <w:lang w:val="en-US" w:eastAsia="zh-CN"/>
        </w:rPr>
        <w:t>亿</w:t>
      </w:r>
      <w:r>
        <w:rPr>
          <w:rFonts w:hint="default" w:ascii="Times New Roman" w:hAnsi="Times New Roman" w:eastAsia="仿宋_GB2312" w:cs="Times New Roman"/>
          <w:color w:val="auto"/>
          <w:sz w:val="32"/>
          <w:szCs w:val="32"/>
          <w:highlight w:val="none"/>
        </w:rPr>
        <w:t>元限额内，债务风险总体可控。</w:t>
      </w:r>
      <w:r>
        <w:rPr>
          <w:rFonts w:hint="default" w:ascii="Times New Roman" w:hAnsi="Times New Roman" w:eastAsia="仿宋_GB2312" w:cs="Times New Roman"/>
          <w:color w:val="auto"/>
          <w:sz w:val="32"/>
          <w:szCs w:val="32"/>
          <w:highlight w:val="none"/>
          <w:lang w:val="en-US" w:eastAsia="zh-CN"/>
        </w:rPr>
        <w:t>分类型看：全省一般债务限额</w:t>
      </w:r>
      <w:r>
        <w:rPr>
          <w:rFonts w:hint="eastAsia" w:ascii="Times New Roman" w:hAnsi="Times New Roman" w:eastAsia="仿宋_GB2312" w:cs="Times New Roman"/>
          <w:color w:val="auto"/>
          <w:sz w:val="32"/>
          <w:szCs w:val="32"/>
          <w:highlight w:val="none"/>
          <w:lang w:val="en-US" w:eastAsia="zh-CN"/>
        </w:rPr>
        <w:t>8301.4</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8074.3</w:t>
      </w:r>
      <w:r>
        <w:rPr>
          <w:rFonts w:hint="default" w:ascii="Times New Roman" w:hAnsi="Times New Roman" w:eastAsia="仿宋_GB2312" w:cs="Times New Roman"/>
          <w:color w:val="auto"/>
          <w:sz w:val="32"/>
          <w:szCs w:val="32"/>
          <w:highlight w:val="none"/>
          <w:lang w:val="en-US" w:eastAsia="zh-CN"/>
        </w:rPr>
        <w:t>亿元；专项债务限额</w:t>
      </w:r>
      <w:r>
        <w:rPr>
          <w:rFonts w:hint="eastAsia" w:ascii="Times New Roman" w:hAnsi="Times New Roman" w:eastAsia="仿宋_GB2312" w:cs="Times New Roman"/>
          <w:color w:val="auto"/>
          <w:sz w:val="32"/>
          <w:szCs w:val="32"/>
          <w:highlight w:val="none"/>
          <w:lang w:val="en-US" w:eastAsia="zh-CN"/>
        </w:rPr>
        <w:t>18601.3</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15954.6</w:t>
      </w:r>
      <w:r>
        <w:rPr>
          <w:rFonts w:hint="default" w:ascii="Times New Roman" w:hAnsi="Times New Roman" w:eastAsia="仿宋_GB2312" w:cs="Times New Roman"/>
          <w:color w:val="auto"/>
          <w:sz w:val="32"/>
          <w:szCs w:val="32"/>
          <w:highlight w:val="none"/>
          <w:lang w:val="en-US" w:eastAsia="zh-CN"/>
        </w:rPr>
        <w:t>亿元。分级次看：省级债务限额</w:t>
      </w:r>
      <w:r>
        <w:rPr>
          <w:rFonts w:hint="eastAsia" w:ascii="Times New Roman" w:hAnsi="Times New Roman" w:eastAsia="仿宋_GB2312" w:cs="Times New Roman"/>
          <w:color w:val="auto"/>
          <w:sz w:val="32"/>
          <w:szCs w:val="32"/>
          <w:highlight w:val="none"/>
          <w:lang w:val="en-US" w:eastAsia="zh-CN"/>
        </w:rPr>
        <w:t>1536.8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1406.5</w:t>
      </w:r>
      <w:r>
        <w:rPr>
          <w:rFonts w:hint="default" w:ascii="Times New Roman" w:hAnsi="Times New Roman" w:eastAsia="仿宋_GB2312" w:cs="Times New Roman"/>
          <w:color w:val="auto"/>
          <w:sz w:val="32"/>
          <w:szCs w:val="32"/>
          <w:highlight w:val="none"/>
          <w:lang w:val="en-US" w:eastAsia="zh-CN"/>
        </w:rPr>
        <w:t>亿元；市级债务限额</w:t>
      </w:r>
      <w:r>
        <w:rPr>
          <w:rFonts w:hint="eastAsia" w:ascii="Times New Roman" w:hAnsi="Times New Roman" w:eastAsia="仿宋_GB2312" w:cs="Times New Roman"/>
          <w:color w:val="auto"/>
          <w:sz w:val="32"/>
          <w:szCs w:val="32"/>
          <w:highlight w:val="none"/>
          <w:lang w:val="en-US" w:eastAsia="zh-CN"/>
        </w:rPr>
        <w:t>7504.1</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6866.8</w:t>
      </w:r>
      <w:r>
        <w:rPr>
          <w:rFonts w:hint="default" w:ascii="Times New Roman" w:hAnsi="Times New Roman" w:eastAsia="仿宋_GB2312" w:cs="Times New Roman"/>
          <w:color w:val="auto"/>
          <w:sz w:val="32"/>
          <w:szCs w:val="32"/>
          <w:highlight w:val="none"/>
          <w:lang w:val="en-US" w:eastAsia="zh-CN"/>
        </w:rPr>
        <w:t>亿元</w:t>
      </w:r>
      <w:r>
        <w:rPr>
          <w:rFonts w:hint="default" w:ascii="Times New Roman" w:hAnsi="Times New Roman" w:eastAsia="仿宋_GB2312" w:cs="Times New Roman"/>
          <w:color w:val="auto"/>
          <w:sz w:val="32"/>
          <w:szCs w:val="32"/>
          <w:highlight w:val="none"/>
          <w:lang w:val="en" w:eastAsia="zh-CN"/>
        </w:rPr>
        <w:t>;县</w:t>
      </w:r>
      <w:r>
        <w:rPr>
          <w:rFonts w:hint="default" w:ascii="Times New Roman" w:hAnsi="Times New Roman" w:eastAsia="仿宋_GB2312" w:cs="Times New Roman"/>
          <w:color w:val="auto"/>
          <w:sz w:val="32"/>
          <w:szCs w:val="32"/>
          <w:highlight w:val="none"/>
          <w:lang w:val="en-US" w:eastAsia="zh-CN"/>
        </w:rPr>
        <w:t>级债务限额</w:t>
      </w:r>
      <w:r>
        <w:rPr>
          <w:rFonts w:hint="eastAsia" w:ascii="Times New Roman" w:hAnsi="Times New Roman" w:eastAsia="仿宋_GB2312" w:cs="Times New Roman"/>
          <w:color w:val="auto"/>
          <w:sz w:val="32"/>
          <w:szCs w:val="32"/>
          <w:highlight w:val="none"/>
          <w:lang w:val="en-US" w:eastAsia="zh-CN"/>
        </w:rPr>
        <w:t>17861.8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15755.6</w:t>
      </w:r>
      <w:r>
        <w:rPr>
          <w:rFonts w:hint="default" w:ascii="Times New Roman" w:hAnsi="Times New Roman" w:eastAsia="仿宋_GB2312" w:cs="Times New Roman"/>
          <w:color w:val="auto"/>
          <w:sz w:val="32"/>
          <w:szCs w:val="32"/>
          <w:highlight w:val="none"/>
          <w:lang w:val="en-US" w:eastAsia="zh-CN"/>
        </w:rPr>
        <w:t>亿元。</w:t>
      </w:r>
    </w:p>
    <w:p w14:paraId="6AAEF4F9">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年，全省新增政府债券主要聚焦</w:t>
      </w:r>
      <w:r>
        <w:rPr>
          <w:rFonts w:hint="eastAsia" w:ascii="Times New Roman" w:hAnsi="Times New Roman" w:eastAsia="仿宋_GB2312" w:cs="Times New Roman"/>
          <w:color w:val="auto"/>
          <w:sz w:val="32"/>
          <w:szCs w:val="32"/>
          <w:highlight w:val="none"/>
          <w:lang w:val="en-US" w:eastAsia="zh-CN"/>
        </w:rPr>
        <w:t>交通、社会事业、产业园区</w:t>
      </w:r>
      <w:r>
        <w:rPr>
          <w:rFonts w:hint="default" w:ascii="Times New Roman" w:hAnsi="Times New Roman" w:eastAsia="仿宋_GB2312" w:cs="Times New Roman"/>
          <w:color w:val="auto"/>
          <w:sz w:val="32"/>
          <w:szCs w:val="32"/>
          <w:highlight w:val="none"/>
          <w:lang w:val="en-US" w:eastAsia="zh-CN"/>
        </w:rPr>
        <w:t>等领域，有力支持了</w:t>
      </w:r>
      <w:r>
        <w:rPr>
          <w:rFonts w:hint="eastAsia" w:ascii="Times New Roman" w:hAnsi="Times New Roman" w:eastAsia="仿宋_GB2312" w:cs="Times New Roman"/>
          <w:color w:val="auto"/>
          <w:sz w:val="32"/>
          <w:szCs w:val="32"/>
          <w:highlight w:val="none"/>
          <w:lang w:val="en-US" w:eastAsia="zh-CN"/>
        </w:rPr>
        <w:t>成达万铁路、岷江龙溪口航电枢纽</w:t>
      </w:r>
      <w:r>
        <w:rPr>
          <w:rFonts w:hint="default" w:ascii="Times New Roman" w:hAnsi="Times New Roman" w:eastAsia="仿宋_GB2312" w:cs="Times New Roman"/>
          <w:color w:val="auto"/>
          <w:sz w:val="32"/>
          <w:szCs w:val="32"/>
          <w:highlight w:val="none"/>
          <w:lang w:val="en-US" w:eastAsia="zh-CN"/>
        </w:rPr>
        <w:t>等重大项目建设</w:t>
      </w:r>
      <w:r>
        <w:rPr>
          <w:rFonts w:hint="default" w:ascii="Times New Roman" w:hAnsi="Times New Roman" w:eastAsia="仿宋_GB2312" w:cs="Times New Roman"/>
          <w:color w:val="auto"/>
          <w:sz w:val="32"/>
          <w:szCs w:val="32"/>
          <w:highlight w:val="none"/>
        </w:rPr>
        <w:t>。</w:t>
      </w:r>
    </w:p>
    <w:p w14:paraId="0BBC91F9">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（二）四川省加强债务管理、防范化解政府债务风险采取的主要措施。</w:t>
      </w:r>
    </w:p>
    <w:p w14:paraId="1EB9A6B6">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四川省委、省政府高度重视政府债务管理工作，积极采取有效措施完善相关制度机制，切实防范和化解地方政府债务风险。</w:t>
      </w:r>
    </w:p>
    <w:p w14:paraId="7C8B175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b w:val="0"/>
          <w:bCs w:val="0"/>
          <w:color w:val="auto"/>
          <w:sz w:val="32"/>
          <w:szCs w:val="32"/>
          <w:highlight w:val="none"/>
          <w:lang w:val="en-US" w:eastAsia="zh-CN"/>
        </w:rPr>
        <w:t>1</w:t>
      </w:r>
      <w:r>
        <w:rPr>
          <w:rFonts w:hint="default"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rPr>
        <w:t>加强统筹部署，完善政府债务管理。</w:t>
      </w:r>
    </w:p>
    <w:p w14:paraId="3E371B0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完善管理制度机制</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印发《四川省地方政府专项债券全生命周期管理办法》，进一步明确专项债券</w:t>
      </w:r>
      <w:r>
        <w:rPr>
          <w:rFonts w:hint="default" w:ascii="Times New Roman" w:hAnsi="Times New Roman" w:eastAsia="仿宋_GB2312" w:cs="Times New Roman"/>
          <w:color w:val="auto"/>
          <w:sz w:val="32"/>
          <w:szCs w:val="32"/>
          <w:highlight w:val="none"/>
          <w:lang w:eastAsia="zh-CN"/>
        </w:rPr>
        <w:t>“借、用、管、还”管理要求及程序</w:t>
      </w:r>
      <w:r>
        <w:rPr>
          <w:rFonts w:hint="default" w:ascii="Times New Roman" w:hAnsi="Times New Roman" w:eastAsia="仿宋_GB2312" w:cs="Times New Roman"/>
          <w:color w:val="auto"/>
          <w:sz w:val="32"/>
          <w:szCs w:val="32"/>
          <w:highlight w:val="none"/>
        </w:rPr>
        <w:t>，为地方做好</w:t>
      </w:r>
      <w:r>
        <w:rPr>
          <w:rFonts w:hint="default" w:ascii="Times New Roman" w:hAnsi="Times New Roman" w:eastAsia="仿宋_GB2312" w:cs="Times New Roman"/>
          <w:color w:val="auto"/>
          <w:sz w:val="32"/>
          <w:szCs w:val="32"/>
          <w:highlight w:val="none"/>
          <w:lang w:eastAsia="zh-CN"/>
        </w:rPr>
        <w:t>专项债券</w:t>
      </w:r>
      <w:r>
        <w:rPr>
          <w:rFonts w:hint="default" w:ascii="Times New Roman" w:hAnsi="Times New Roman" w:eastAsia="仿宋_GB2312" w:cs="Times New Roman"/>
          <w:color w:val="auto"/>
          <w:sz w:val="32"/>
          <w:szCs w:val="32"/>
          <w:highlight w:val="none"/>
        </w:rPr>
        <w:t>全生命周期管理提供政策指导。创新建立专项债券资金监管账户管理制度，通过“</w:t>
      </w:r>
      <w:r>
        <w:rPr>
          <w:rFonts w:hint="default" w:ascii="Times New Roman" w:hAnsi="Times New Roman" w:eastAsia="仿宋_GB2312" w:cs="Times New Roman"/>
          <w:color w:val="auto"/>
          <w:sz w:val="32"/>
          <w:szCs w:val="32"/>
          <w:highlight w:val="none"/>
          <w:lang w:eastAsia="zh-CN"/>
        </w:rPr>
        <w:t>国库集中支付</w:t>
      </w:r>
      <w:r>
        <w:rPr>
          <w:rFonts w:hint="default" w:ascii="Times New Roman" w:hAnsi="Times New Roman" w:eastAsia="仿宋_GB2312" w:cs="Times New Roman"/>
          <w:color w:val="auto"/>
          <w:sz w:val="32"/>
          <w:szCs w:val="32"/>
          <w:highlight w:val="none"/>
          <w:lang w:val="en-US" w:eastAsia="zh-CN"/>
        </w:rPr>
        <w:t>+企业监管</w:t>
      </w:r>
      <w:r>
        <w:rPr>
          <w:rFonts w:hint="default" w:ascii="Times New Roman" w:hAnsi="Times New Roman" w:eastAsia="仿宋_GB2312" w:cs="Times New Roman"/>
          <w:color w:val="auto"/>
          <w:sz w:val="32"/>
          <w:szCs w:val="32"/>
          <w:highlight w:val="none"/>
        </w:rPr>
        <w:t>账户+管理系统”</w:t>
      </w:r>
      <w:r>
        <w:rPr>
          <w:rFonts w:hint="default" w:ascii="Times New Roman" w:hAnsi="Times New Roman" w:eastAsia="仿宋_GB2312" w:cs="Times New Roman"/>
          <w:color w:val="auto"/>
          <w:sz w:val="32"/>
          <w:szCs w:val="32"/>
          <w:highlight w:val="none"/>
          <w:lang w:val="en-US" w:eastAsia="zh-CN"/>
        </w:rPr>
        <w:t>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对资金支付</w:t>
      </w:r>
      <w:r>
        <w:rPr>
          <w:rFonts w:hint="default" w:ascii="Times New Roman" w:hAnsi="Times New Roman" w:eastAsia="仿宋_GB2312" w:cs="Times New Roman"/>
          <w:color w:val="auto"/>
          <w:sz w:val="32"/>
          <w:szCs w:val="32"/>
          <w:highlight w:val="none"/>
        </w:rPr>
        <w:t>实现“一竿子插到底”穿透监管，最大限度消除监管盲区</w:t>
      </w:r>
      <w:r>
        <w:rPr>
          <w:rFonts w:hint="default" w:ascii="Times New Roman" w:hAnsi="Times New Roman" w:eastAsia="仿宋_GB2312" w:cs="Times New Roman"/>
          <w:color w:val="auto"/>
          <w:sz w:val="32"/>
          <w:szCs w:val="32"/>
          <w:highlight w:val="none"/>
          <w:lang w:eastAsia="zh-CN"/>
        </w:rPr>
        <w:t>。</w:t>
      </w:r>
    </w:p>
    <w:p w14:paraId="1DD4C3C4">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（2）严格债务预算管理。</w:t>
      </w:r>
      <w:r>
        <w:rPr>
          <w:rFonts w:hint="default" w:ascii="Times New Roman" w:hAnsi="Times New Roman" w:eastAsia="仿宋_GB2312" w:cs="Times New Roman"/>
          <w:color w:val="auto"/>
          <w:sz w:val="32"/>
          <w:szCs w:val="32"/>
          <w:highlight w:val="none"/>
          <w:lang w:val="en-US" w:eastAsia="zh-CN"/>
        </w:rPr>
        <w:t>将债务收入、支出、还本、付息、发行全面纳入预算管理。督促省级部门和市县部门通过安排年度预算资金、盘活存量资金等偿还政府债务，发行适当规模债券偿还到期债券本金。</w:t>
      </w:r>
    </w:p>
    <w:p w14:paraId="1A26384D">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（3）推进债务管理绩效考核。</w:t>
      </w:r>
      <w:r>
        <w:rPr>
          <w:rFonts w:hint="default" w:ascii="Times New Roman" w:hAnsi="Times New Roman" w:eastAsia="仿宋_GB2312" w:cs="Times New Roman"/>
          <w:b w:val="0"/>
          <w:bCs w:val="0"/>
          <w:color w:val="auto"/>
          <w:sz w:val="32"/>
          <w:szCs w:val="32"/>
          <w:highlight w:val="none"/>
          <w:lang w:val="en-US" w:eastAsia="zh-CN"/>
        </w:rPr>
        <w:t>省级财政每年选取部分重点领域开展重点绩效评价，并将评价结果纳入新增债务限额分配测算因素中，</w:t>
      </w:r>
      <w:r>
        <w:rPr>
          <w:rFonts w:hint="default" w:ascii="Times New Roman" w:hAnsi="Times New Roman" w:eastAsia="仿宋_GB2312" w:cs="Times New Roman"/>
          <w:b w:val="0"/>
          <w:bCs w:val="0"/>
          <w:color w:val="auto"/>
          <w:sz w:val="32"/>
          <w:szCs w:val="32"/>
          <w:highlight w:val="none"/>
        </w:rPr>
        <w:t>引导地方政府树立“举债必问效，无效必问责”的资</w:t>
      </w:r>
      <w:r>
        <w:rPr>
          <w:rFonts w:hint="default" w:ascii="Times New Roman" w:hAnsi="Times New Roman" w:eastAsia="仿宋_GB2312" w:cs="Times New Roman"/>
          <w:b w:val="0"/>
          <w:bCs w:val="0"/>
          <w:color w:val="auto"/>
          <w:sz w:val="32"/>
          <w:szCs w:val="32"/>
          <w:highlight w:val="none"/>
          <w:lang w:val="en-US" w:eastAsia="zh-CN"/>
        </w:rPr>
        <w:t>金管理理念，促进债券资金安全高效使用。</w:t>
      </w:r>
    </w:p>
    <w:p w14:paraId="1BD91EE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方正楷体简体" w:cs="Times New Roman"/>
          <w:color w:val="auto"/>
          <w:kern w:val="2"/>
          <w:sz w:val="32"/>
          <w:szCs w:val="32"/>
          <w:highlight w:val="none"/>
          <w:lang w:val="en-US" w:eastAsia="zh-CN" w:bidi="ar-SA"/>
        </w:rPr>
        <w:t>2</w:t>
      </w:r>
      <w:r>
        <w:rPr>
          <w:rFonts w:hint="default" w:ascii="Times New Roman" w:hAnsi="Times New Roman" w:eastAsia="楷体_GB2312" w:cs="Times New Roman"/>
          <w:color w:val="auto"/>
          <w:kern w:val="2"/>
          <w:sz w:val="32"/>
          <w:szCs w:val="32"/>
          <w:highlight w:val="none"/>
          <w:lang w:val="en-US" w:eastAsia="zh-CN" w:bidi="ar-SA"/>
        </w:rPr>
        <w:t>.聚焦重点领域，加力促投资稳增长。</w:t>
      </w:r>
    </w:p>
    <w:p w14:paraId="7955E7A5">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（1）积极落实中央和省委安排部署。</w:t>
      </w:r>
      <w:r>
        <w:rPr>
          <w:rFonts w:hint="default" w:ascii="Times New Roman" w:hAnsi="Times New Roman" w:eastAsia="仿宋_GB2312" w:cs="Times New Roman"/>
          <w:color w:val="auto"/>
          <w:sz w:val="32"/>
          <w:szCs w:val="32"/>
          <w:highlight w:val="none"/>
          <w:lang w:val="en-US" w:eastAsia="zh-CN"/>
        </w:rPr>
        <w:t>坚持“资金跟着项目走”原则，聚焦成渝地区双城经济圈建设、乡村振兴等中央和省重大战略项目，优先支持省委省政府明确的</w:t>
      </w:r>
      <w:r>
        <w:rPr>
          <w:rFonts w:hint="eastAsia" w:ascii="Times New Roman" w:hAnsi="Times New Roman" w:eastAsia="仿宋_GB2312" w:cs="Times New Roman"/>
          <w:color w:val="auto"/>
          <w:sz w:val="32"/>
          <w:szCs w:val="32"/>
          <w:highlight w:val="none"/>
          <w:lang w:val="en-US" w:eastAsia="zh-CN"/>
        </w:rPr>
        <w:t>重大项目</w:t>
      </w:r>
      <w:r>
        <w:rPr>
          <w:rFonts w:hint="default" w:ascii="Times New Roman" w:hAnsi="Times New Roman" w:eastAsia="仿宋_GB2312" w:cs="Times New Roman"/>
          <w:color w:val="auto"/>
          <w:sz w:val="32"/>
          <w:szCs w:val="32"/>
          <w:highlight w:val="none"/>
          <w:lang w:val="en-US" w:eastAsia="zh-CN"/>
        </w:rPr>
        <w:t>，积极向中央汇报，争取新增限额支持，增强对重大战略决策的支撑力度，充分发挥债券资金逆周期调节、“补短板、惠民生、促消费、扩内需”的积极作用。</w:t>
      </w:r>
    </w:p>
    <w:p w14:paraId="0F9BAC37">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（2）精心优选债券发行项目。</w:t>
      </w:r>
      <w:r>
        <w:rPr>
          <w:rFonts w:hint="default" w:ascii="Times New Roman" w:hAnsi="Times New Roman" w:eastAsia="仿宋_GB2312" w:cs="Times New Roman"/>
          <w:color w:val="auto"/>
          <w:sz w:val="32"/>
          <w:szCs w:val="32"/>
          <w:highlight w:val="none"/>
          <w:lang w:val="en-US" w:eastAsia="zh-CN"/>
        </w:rPr>
        <w:t>坚持专项债券用于有一定收益的公益性项目，融资规模与收益相平衡，联合省级相关行业主管部门、金融机构等相关专家，严格按照专项债券发行条件对拟发债项目进行联合把关，确保项目的可行性与专项债券资金安排合规性，切实把好“入口关”。统筹做好存量项目与新增项目发行，优先保障在建项目融资需求，坚决防止“撒胡椒面”和出现“半拉子工程”。</w:t>
      </w:r>
    </w:p>
    <w:p w14:paraId="0DCB112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（3）加快债券使用进度。</w:t>
      </w:r>
      <w:r>
        <w:rPr>
          <w:rFonts w:hint="default" w:ascii="Times New Roman" w:hAnsi="Times New Roman" w:eastAsia="仿宋_GB2312" w:cs="Times New Roman"/>
          <w:color w:val="auto"/>
          <w:sz w:val="32"/>
          <w:szCs w:val="32"/>
          <w:highlight w:val="none"/>
          <w:lang w:val="en-US" w:eastAsia="zh-CN"/>
        </w:rPr>
        <w:t>提前做好资金拨付方案，确保新增债券资金及时拨付至市县；建立“</w:t>
      </w:r>
      <w:r>
        <w:rPr>
          <w:rFonts w:hint="eastAsia" w:ascii="Times New Roman" w:hAnsi="Times New Roman" w:eastAsia="仿宋_GB2312" w:cs="Times New Roman"/>
          <w:color w:val="auto"/>
          <w:sz w:val="32"/>
          <w:szCs w:val="32"/>
          <w:highlight w:val="none"/>
          <w:lang w:val="en-US" w:eastAsia="zh-CN"/>
        </w:rPr>
        <w:t>按日监测、按周调度、按旬通报</w:t>
      </w:r>
      <w:r>
        <w:rPr>
          <w:rFonts w:hint="default" w:ascii="Times New Roman" w:hAnsi="Times New Roman" w:eastAsia="仿宋_GB2312" w:cs="Times New Roman"/>
          <w:color w:val="auto"/>
          <w:sz w:val="32"/>
          <w:szCs w:val="32"/>
          <w:highlight w:val="none"/>
          <w:lang w:val="en-US" w:eastAsia="zh-CN"/>
        </w:rPr>
        <w:t>”机制，督促市县加快债券资金拨付使用进度，新增专项债券使用进度进一步加快。</w:t>
      </w:r>
    </w:p>
    <w:p w14:paraId="36359FE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3.强化风险防控，牢牢守住防范风险底线。</w:t>
      </w:r>
    </w:p>
    <w:p w14:paraId="7FA06EA3">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（1）严格债务限额管理。</w:t>
      </w:r>
      <w:r>
        <w:rPr>
          <w:rFonts w:hint="default" w:ascii="Times New Roman" w:hAnsi="Times New Roman" w:eastAsia="仿宋_GB2312" w:cs="Times New Roman"/>
          <w:b w:val="0"/>
          <w:bCs w:val="0"/>
          <w:color w:val="auto"/>
          <w:sz w:val="32"/>
          <w:szCs w:val="32"/>
          <w:highlight w:val="none"/>
        </w:rPr>
        <w:t>根据</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风险等因素科学分配市县新增</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限额，对</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风险较高地区适当限制新增债券额度，引导地方政府加大化债力度，控制</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风险水平。</w:t>
      </w:r>
      <w:r>
        <w:rPr>
          <w:rFonts w:hint="default" w:ascii="Times New Roman" w:hAnsi="Times New Roman" w:eastAsia="仿宋_GB2312" w:cs="Times New Roman"/>
          <w:b w:val="0"/>
          <w:bCs w:val="0"/>
          <w:color w:val="auto"/>
          <w:sz w:val="32"/>
          <w:szCs w:val="32"/>
          <w:highlight w:val="none"/>
          <w:lang w:val="en-US" w:eastAsia="zh-CN"/>
        </w:rPr>
        <w:t>202</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rPr>
        <w:t>全省政府</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余额严格控制在财政部核定我省</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限额以内，</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风险总体可控</w:t>
      </w:r>
      <w:r>
        <w:rPr>
          <w:rFonts w:hint="default" w:ascii="Times New Roman" w:hAnsi="Times New Roman" w:eastAsia="仿宋_GB2312" w:cs="Times New Roman"/>
          <w:color w:val="auto"/>
          <w:sz w:val="32"/>
          <w:szCs w:val="32"/>
          <w:highlight w:val="none"/>
          <w:lang w:val="en-US" w:eastAsia="zh-CN"/>
        </w:rPr>
        <w:t>。</w:t>
      </w:r>
    </w:p>
    <w:p w14:paraId="504B4940">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（2）全面完成到期政府债务偿还。</w:t>
      </w:r>
      <w:r>
        <w:rPr>
          <w:rFonts w:hint="default" w:ascii="Times New Roman" w:hAnsi="Times New Roman" w:eastAsia="仿宋_GB2312" w:cs="Times New Roman"/>
          <w:color w:val="auto"/>
          <w:sz w:val="32"/>
          <w:szCs w:val="32"/>
          <w:highlight w:val="none"/>
          <w:lang w:val="en-US" w:eastAsia="zh-CN"/>
        </w:rPr>
        <w:t>依法落实法定债券偿还责任，按照“谁使用、谁偿还”的原则，严格落实偿债资金来源，提高自有资金偿债比例，切实维护了省政府信誉。</w:t>
      </w:r>
    </w:p>
    <w:p w14:paraId="7A94AC36">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（3）强化债务风险监测预警。</w:t>
      </w:r>
      <w:r>
        <w:rPr>
          <w:rFonts w:hint="eastAsia" w:ascii="Times New Roman" w:hAnsi="Times New Roman" w:eastAsia="仿宋_GB2312" w:cs="Times New Roman"/>
          <w:b w:val="0"/>
          <w:bCs w:val="0"/>
          <w:color w:val="auto"/>
          <w:sz w:val="32"/>
          <w:szCs w:val="32"/>
          <w:highlight w:val="none"/>
          <w:lang w:val="en-US" w:eastAsia="zh-CN"/>
        </w:rPr>
        <w:t>实施全口径地方债务监测监管，</w:t>
      </w:r>
      <w:r>
        <w:rPr>
          <w:rFonts w:hint="default" w:ascii="Times New Roman" w:hAnsi="Times New Roman" w:eastAsia="仿宋_GB2312" w:cs="Times New Roman"/>
          <w:b w:val="0"/>
          <w:bCs w:val="0"/>
          <w:color w:val="auto"/>
          <w:sz w:val="32"/>
          <w:szCs w:val="32"/>
          <w:highlight w:val="none"/>
        </w:rPr>
        <w:t>定期开展</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风险评估，及时通报评估结果</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统筹用好国家一揽子化债增量政策，化解高风险高成本债务，筑牢防爆雷底线，坚决遏制新增隐性债务</w:t>
      </w:r>
      <w:r>
        <w:rPr>
          <w:rFonts w:hint="default" w:ascii="Times New Roman" w:hAnsi="Times New Roman" w:eastAsia="仿宋_GB2312" w:cs="Times New Roman"/>
          <w:color w:val="auto"/>
          <w:sz w:val="32"/>
          <w:szCs w:val="32"/>
          <w:highlight w:val="none"/>
          <w:lang w:val="en-US" w:eastAsia="zh-CN"/>
        </w:rPr>
        <w:t>。</w:t>
      </w:r>
    </w:p>
    <w:p w14:paraId="050E14E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（4）严格违规举债追责问责。</w:t>
      </w:r>
      <w:r>
        <w:rPr>
          <w:rFonts w:hint="default" w:ascii="Times New Roman" w:hAnsi="Times New Roman" w:eastAsia="仿宋_GB2312" w:cs="Times New Roman"/>
          <w:b w:val="0"/>
          <w:bCs w:val="0"/>
          <w:color w:val="auto"/>
          <w:sz w:val="32"/>
          <w:szCs w:val="32"/>
          <w:highlight w:val="none"/>
          <w:lang w:eastAsia="zh-CN"/>
        </w:rPr>
        <w:t>严格落实</w:t>
      </w:r>
      <w:r>
        <w:rPr>
          <w:rFonts w:hint="eastAsia" w:ascii="Times New Roman" w:hAnsi="Times New Roman" w:eastAsia="仿宋_GB2312" w:cs="Times New Roman"/>
          <w:b w:val="0"/>
          <w:bCs w:val="0"/>
          <w:color w:val="auto"/>
          <w:sz w:val="32"/>
          <w:szCs w:val="32"/>
          <w:highlight w:val="none"/>
          <w:lang w:eastAsia="zh-CN"/>
        </w:rPr>
        <w:t>违规</w:t>
      </w:r>
      <w:r>
        <w:rPr>
          <w:rFonts w:hint="default" w:ascii="Times New Roman" w:hAnsi="Times New Roman" w:eastAsia="仿宋_GB2312" w:cs="Times New Roman"/>
          <w:b w:val="0"/>
          <w:bCs w:val="0"/>
          <w:color w:val="auto"/>
          <w:sz w:val="32"/>
          <w:szCs w:val="32"/>
          <w:highlight w:val="none"/>
          <w:lang w:eastAsia="zh-CN"/>
        </w:rPr>
        <w:t>举债终身问责制和债务问题倒查机制，实施隐性债务问责闭环管理</w:t>
      </w:r>
      <w:r>
        <w:rPr>
          <w:rFonts w:hint="default"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eastAsia="zh-CN"/>
        </w:rPr>
        <w:t>将不新增隐性债务作为铁的纪律，加强政府支出事项和政府投资项目预算管理，对违规举债严肃追责问责</w:t>
      </w:r>
      <w:r>
        <w:rPr>
          <w:rFonts w:hint="default" w:ascii="Times New Roman" w:hAnsi="Times New Roman" w:eastAsia="仿宋_GB2312" w:cs="Times New Roman"/>
          <w:b w:val="0"/>
          <w:bCs w:val="0"/>
          <w:color w:val="auto"/>
          <w:sz w:val="32"/>
          <w:szCs w:val="32"/>
          <w:highlight w:val="none"/>
        </w:rPr>
        <w:t>。</w:t>
      </w:r>
    </w:p>
    <w:p w14:paraId="6D410187">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p>
    <w:p w14:paraId="4714AB0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附件：2025年四川省政府专项债券（二十五期）项目清单</w:t>
      </w:r>
    </w:p>
    <w:p w14:paraId="2B7DE659">
      <w:pPr>
        <w:keepNext w:val="0"/>
        <w:keepLines w:val="0"/>
        <w:pageBreakBefore w:val="0"/>
        <w:kinsoku/>
        <w:wordWrap/>
        <w:overflowPunct/>
        <w:topLinePunct w:val="0"/>
        <w:autoSpaceDE/>
        <w:autoSpaceDN/>
        <w:bidi w:val="0"/>
        <w:adjustRightInd/>
        <w:snapToGrid/>
        <w:spacing w:line="580" w:lineRule="exact"/>
        <w:ind w:right="770"/>
        <w:jc w:val="right"/>
        <w:textAlignment w:val="auto"/>
        <w:rPr>
          <w:rFonts w:hint="default" w:ascii="Times New Roman" w:hAnsi="Times New Roman" w:cs="Times New Roman"/>
          <w:color w:val="auto"/>
          <w:sz w:val="32"/>
          <w:szCs w:val="32"/>
          <w:highlight w:val="none"/>
        </w:rPr>
      </w:pPr>
    </w:p>
    <w:p w14:paraId="1E1DEB25">
      <w:pPr>
        <w:keepNext w:val="0"/>
        <w:keepLines w:val="0"/>
        <w:pageBreakBefore w:val="0"/>
        <w:kinsoku/>
        <w:wordWrap/>
        <w:overflowPunct/>
        <w:topLinePunct w:val="0"/>
        <w:autoSpaceDE/>
        <w:autoSpaceDN/>
        <w:bidi w:val="0"/>
        <w:adjustRightInd/>
        <w:snapToGrid/>
        <w:spacing w:line="580" w:lineRule="exact"/>
        <w:ind w:right="770"/>
        <w:jc w:val="right"/>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四川省财政厅</w:t>
      </w:r>
    </w:p>
    <w:p w14:paraId="4F1B61DD">
      <w:pPr>
        <w:keepNext w:val="0"/>
        <w:keepLines w:val="0"/>
        <w:pageBreakBefore w:val="0"/>
        <w:kinsoku/>
        <w:wordWrap/>
        <w:overflowPunct/>
        <w:topLinePunct w:val="0"/>
        <w:autoSpaceDE/>
        <w:autoSpaceDN/>
        <w:bidi w:val="0"/>
        <w:adjustRightInd/>
        <w:snapToGrid/>
        <w:spacing w:line="580" w:lineRule="exact"/>
        <w:ind w:right="460"/>
        <w:jc w:val="right"/>
        <w:textAlignment w:val="auto"/>
        <w:rPr>
          <w:rFonts w:hint="default" w:ascii="Times New Roman" w:hAnsi="Times New Roman" w:cs="Times New Roman"/>
          <w:color w:val="auto"/>
          <w:sz w:val="32"/>
          <w:szCs w:val="32"/>
          <w:highlight w:val="none"/>
        </w:rPr>
      </w:pPr>
      <w:r>
        <w:rPr>
          <w:rFonts w:hint="eastAsia" w:cs="Times New Roman"/>
          <w:color w:val="auto"/>
          <w:sz w:val="32"/>
          <w:szCs w:val="32"/>
          <w:highlight w:val="none"/>
          <w:lang w:eastAsia="zh-CN"/>
        </w:rPr>
        <w:t>2025年</w:t>
      </w:r>
      <w:r>
        <w:rPr>
          <w:rFonts w:hint="eastAsia" w:cs="Times New Roman"/>
          <w:color w:val="auto"/>
          <w:sz w:val="32"/>
          <w:szCs w:val="32"/>
          <w:highlight w:val="none"/>
          <w:lang w:val="en-US" w:eastAsia="zh-CN"/>
        </w:rPr>
        <w:t>6</w:t>
      </w:r>
      <w:r>
        <w:rPr>
          <w:rFonts w:hint="default" w:ascii="Times New Roman" w:hAnsi="Times New Roman" w:cs="Times New Roman"/>
          <w:color w:val="auto"/>
          <w:sz w:val="32"/>
          <w:szCs w:val="32"/>
          <w:highlight w:val="none"/>
        </w:rPr>
        <w:t>月</w:t>
      </w:r>
      <w:r>
        <w:rPr>
          <w:rFonts w:hint="eastAsia" w:cs="Times New Roman"/>
          <w:color w:val="auto"/>
          <w:sz w:val="32"/>
          <w:szCs w:val="32"/>
          <w:highlight w:val="none"/>
          <w:lang w:val="en-US" w:eastAsia="zh-CN"/>
        </w:rPr>
        <w:t>18</w:t>
      </w:r>
      <w:bookmarkStart w:id="0" w:name="_GoBack"/>
      <w:bookmarkEnd w:id="0"/>
      <w:r>
        <w:rPr>
          <w:rFonts w:hint="default" w:ascii="Times New Roman" w:hAnsi="Times New Roman" w:cs="Times New Roman"/>
          <w:color w:val="auto"/>
          <w:sz w:val="32"/>
          <w:szCs w:val="32"/>
          <w:highlight w:val="none"/>
        </w:rPr>
        <w:t>日</w:t>
      </w:r>
    </w:p>
    <w:sectPr>
      <w:footerReference r:id="rId3" w:type="default"/>
      <w:footerReference r:id="rId4" w:type="even"/>
      <w:pgSz w:w="11906" w:h="16838"/>
      <w:pgMar w:top="1757" w:right="1474" w:bottom="1871" w:left="1588" w:header="851" w:footer="992" w:gutter="0"/>
      <w:pgNumType w:fmt="numberInDash"/>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F676B1-EC1F-4CAD-941F-1D50FFB9AE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7139358D-A107-402F-BAA1-CB57ED80745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3" w:fontKey="{66A56FC2-14BB-4783-B09F-9EE6D3502A50}"/>
  </w:font>
  <w:font w:name="方正小标宋简体">
    <w:panose1 w:val="02010600010101010101"/>
    <w:charset w:val="86"/>
    <w:family w:val="auto"/>
    <w:pitch w:val="default"/>
    <w:sig w:usb0="00000001" w:usb1="080E0000" w:usb2="00000000" w:usb3="00000000" w:csb0="00040000" w:csb1="00000000"/>
    <w:embedRegular r:id="rId4" w:fontKey="{42EB49EB-C178-4640-9992-0E867506447D}"/>
  </w:font>
  <w:font w:name="楷体_GB2312">
    <w:altName w:val="楷体"/>
    <w:panose1 w:val="02010609030101010101"/>
    <w:charset w:val="86"/>
    <w:family w:val="auto"/>
    <w:pitch w:val="default"/>
    <w:sig w:usb0="00000000" w:usb1="00000000" w:usb2="00000000" w:usb3="00000000" w:csb0="00040000" w:csb1="00000000"/>
    <w:embedRegular r:id="rId5" w:fontKey="{917E653B-0D66-49A4-A9E4-ABDA6DC58327}"/>
  </w:font>
  <w:font w:name="楷体">
    <w:panose1 w:val="02010609060101010101"/>
    <w:charset w:val="86"/>
    <w:family w:val="auto"/>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embedRegular r:id="rId6" w:fontKey="{E5E87176-4627-459D-8AE5-BB12887E2E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8"/>
      <w:docPartObj>
        <w:docPartGallery w:val="autotext"/>
      </w:docPartObj>
    </w:sdtPr>
    <w:sdtEndPr>
      <w:rPr>
        <w:rFonts w:asciiTheme="minorEastAsia" w:hAnsiTheme="minorEastAsia"/>
        <w:sz w:val="28"/>
        <w:szCs w:val="28"/>
      </w:rPr>
    </w:sdtEndPr>
    <w:sdtContent>
      <w:p w14:paraId="43A36A5B">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14:paraId="622C126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9"/>
      <w:docPartObj>
        <w:docPartGallery w:val="autotext"/>
      </w:docPartObj>
    </w:sdtPr>
    <w:sdtEndPr>
      <w:rPr>
        <w:rFonts w:asciiTheme="minorEastAsia" w:hAnsiTheme="minorEastAsia"/>
        <w:sz w:val="28"/>
        <w:szCs w:val="28"/>
      </w:rPr>
    </w:sdtEndPr>
    <w:sdtContent>
      <w:p w14:paraId="1D440FB7">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14:paraId="570116C1">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0BE2"/>
    <w:multiLevelType w:val="singleLevel"/>
    <w:tmpl w:val="EE430BE2"/>
    <w:lvl w:ilvl="0" w:tentative="0">
      <w:start w:val="4"/>
      <w:numFmt w:val="chineseCounting"/>
      <w:suff w:val="nothing"/>
      <w:lvlText w:val="%1、"/>
      <w:lvlJc w:val="left"/>
      <w:pPr>
        <w:ind w:left="640" w:leftChars="0" w:firstLine="0" w:firstLineChars="0"/>
      </w:pPr>
      <w:rPr>
        <w:rFonts w:hint="eastAsia"/>
      </w:rPr>
    </w:lvl>
  </w:abstractNum>
  <w:abstractNum w:abstractNumId="1">
    <w:nsid w:val="F7C65B72"/>
    <w:multiLevelType w:val="singleLevel"/>
    <w:tmpl w:val="F7C65B7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evenAndOddHeaders w:val="1"/>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zE3YWExNzRhZWE0NjUzYzc4ZjdjNzA2MWRkMjcifQ=="/>
  </w:docVars>
  <w:rsids>
    <w:rsidRoot w:val="00D75D48"/>
    <w:rsid w:val="00003E0D"/>
    <w:rsid w:val="0000494F"/>
    <w:rsid w:val="00006366"/>
    <w:rsid w:val="00011EFF"/>
    <w:rsid w:val="00013565"/>
    <w:rsid w:val="00014F5C"/>
    <w:rsid w:val="00042444"/>
    <w:rsid w:val="000434E1"/>
    <w:rsid w:val="0004465C"/>
    <w:rsid w:val="00050F45"/>
    <w:rsid w:val="0005104D"/>
    <w:rsid w:val="00051067"/>
    <w:rsid w:val="00064B6B"/>
    <w:rsid w:val="00072ECB"/>
    <w:rsid w:val="00076E3A"/>
    <w:rsid w:val="00086525"/>
    <w:rsid w:val="000B5961"/>
    <w:rsid w:val="000B5B7E"/>
    <w:rsid w:val="000B7854"/>
    <w:rsid w:val="000C057D"/>
    <w:rsid w:val="000C06BC"/>
    <w:rsid w:val="000C478F"/>
    <w:rsid w:val="000C61D3"/>
    <w:rsid w:val="000D26F6"/>
    <w:rsid w:val="000D2B72"/>
    <w:rsid w:val="000D6165"/>
    <w:rsid w:val="000E3A19"/>
    <w:rsid w:val="00100DFA"/>
    <w:rsid w:val="00103061"/>
    <w:rsid w:val="00111B35"/>
    <w:rsid w:val="00112550"/>
    <w:rsid w:val="00112C8E"/>
    <w:rsid w:val="00114227"/>
    <w:rsid w:val="00114AAC"/>
    <w:rsid w:val="0011601A"/>
    <w:rsid w:val="00122059"/>
    <w:rsid w:val="001304D1"/>
    <w:rsid w:val="001308F0"/>
    <w:rsid w:val="001313BE"/>
    <w:rsid w:val="0013220C"/>
    <w:rsid w:val="0013365E"/>
    <w:rsid w:val="00145A97"/>
    <w:rsid w:val="0015095B"/>
    <w:rsid w:val="00150AC6"/>
    <w:rsid w:val="001516FD"/>
    <w:rsid w:val="00152AC1"/>
    <w:rsid w:val="001604AA"/>
    <w:rsid w:val="00162AFA"/>
    <w:rsid w:val="00163296"/>
    <w:rsid w:val="00167196"/>
    <w:rsid w:val="00172DB6"/>
    <w:rsid w:val="00174E86"/>
    <w:rsid w:val="001771B7"/>
    <w:rsid w:val="001845A6"/>
    <w:rsid w:val="00191893"/>
    <w:rsid w:val="001967F2"/>
    <w:rsid w:val="001A1B79"/>
    <w:rsid w:val="001B15E9"/>
    <w:rsid w:val="001B2A8F"/>
    <w:rsid w:val="001B33BC"/>
    <w:rsid w:val="001C5458"/>
    <w:rsid w:val="001D0426"/>
    <w:rsid w:val="001E1271"/>
    <w:rsid w:val="001F2BD7"/>
    <w:rsid w:val="001F65CB"/>
    <w:rsid w:val="00201608"/>
    <w:rsid w:val="0021141B"/>
    <w:rsid w:val="002128A8"/>
    <w:rsid w:val="00214C8D"/>
    <w:rsid w:val="00215BF8"/>
    <w:rsid w:val="00224B21"/>
    <w:rsid w:val="00227533"/>
    <w:rsid w:val="00232C05"/>
    <w:rsid w:val="002357DE"/>
    <w:rsid w:val="0023682D"/>
    <w:rsid w:val="00240592"/>
    <w:rsid w:val="00240B03"/>
    <w:rsid w:val="0024109D"/>
    <w:rsid w:val="0025728B"/>
    <w:rsid w:val="002622FC"/>
    <w:rsid w:val="00266CD1"/>
    <w:rsid w:val="00267A87"/>
    <w:rsid w:val="00274608"/>
    <w:rsid w:val="00286EF0"/>
    <w:rsid w:val="00291577"/>
    <w:rsid w:val="002973D9"/>
    <w:rsid w:val="002979A1"/>
    <w:rsid w:val="002A1BF4"/>
    <w:rsid w:val="002A2309"/>
    <w:rsid w:val="002A3BC7"/>
    <w:rsid w:val="002A5445"/>
    <w:rsid w:val="002A5D72"/>
    <w:rsid w:val="002A729F"/>
    <w:rsid w:val="002B14F3"/>
    <w:rsid w:val="002B7582"/>
    <w:rsid w:val="002B7F17"/>
    <w:rsid w:val="002C08AD"/>
    <w:rsid w:val="002C0B80"/>
    <w:rsid w:val="002C2F9A"/>
    <w:rsid w:val="002D09F3"/>
    <w:rsid w:val="002D34DE"/>
    <w:rsid w:val="002D3E97"/>
    <w:rsid w:val="002D7B82"/>
    <w:rsid w:val="002E3BF3"/>
    <w:rsid w:val="002E3CAF"/>
    <w:rsid w:val="002E7F88"/>
    <w:rsid w:val="002F02C0"/>
    <w:rsid w:val="002F51FB"/>
    <w:rsid w:val="002F6DDA"/>
    <w:rsid w:val="00300299"/>
    <w:rsid w:val="003142FA"/>
    <w:rsid w:val="003201E1"/>
    <w:rsid w:val="00323F8A"/>
    <w:rsid w:val="00330ADC"/>
    <w:rsid w:val="0033296F"/>
    <w:rsid w:val="00334122"/>
    <w:rsid w:val="00334C10"/>
    <w:rsid w:val="00334EBB"/>
    <w:rsid w:val="00337972"/>
    <w:rsid w:val="00340EAF"/>
    <w:rsid w:val="00345D80"/>
    <w:rsid w:val="00345E5A"/>
    <w:rsid w:val="00347B91"/>
    <w:rsid w:val="0035563B"/>
    <w:rsid w:val="0037122D"/>
    <w:rsid w:val="00372C4C"/>
    <w:rsid w:val="00377FC2"/>
    <w:rsid w:val="00381216"/>
    <w:rsid w:val="003823B9"/>
    <w:rsid w:val="0038792C"/>
    <w:rsid w:val="00387BB4"/>
    <w:rsid w:val="003949A1"/>
    <w:rsid w:val="003968AB"/>
    <w:rsid w:val="003A2602"/>
    <w:rsid w:val="003A336F"/>
    <w:rsid w:val="003A376D"/>
    <w:rsid w:val="003A7080"/>
    <w:rsid w:val="003C1A8A"/>
    <w:rsid w:val="003C509D"/>
    <w:rsid w:val="003D16F1"/>
    <w:rsid w:val="003D2881"/>
    <w:rsid w:val="003D5824"/>
    <w:rsid w:val="003E5B33"/>
    <w:rsid w:val="003E7CBF"/>
    <w:rsid w:val="003F7949"/>
    <w:rsid w:val="004025DD"/>
    <w:rsid w:val="00405B5D"/>
    <w:rsid w:val="004244C3"/>
    <w:rsid w:val="00427BCA"/>
    <w:rsid w:val="00430B0B"/>
    <w:rsid w:val="00435BA4"/>
    <w:rsid w:val="0045340E"/>
    <w:rsid w:val="00464202"/>
    <w:rsid w:val="004665B7"/>
    <w:rsid w:val="00482921"/>
    <w:rsid w:val="00484B65"/>
    <w:rsid w:val="00493BA0"/>
    <w:rsid w:val="0049492E"/>
    <w:rsid w:val="00495E42"/>
    <w:rsid w:val="004C0034"/>
    <w:rsid w:val="004C4227"/>
    <w:rsid w:val="004C4C68"/>
    <w:rsid w:val="004C52D6"/>
    <w:rsid w:val="004C5559"/>
    <w:rsid w:val="004C68A8"/>
    <w:rsid w:val="004C6AB9"/>
    <w:rsid w:val="004D711D"/>
    <w:rsid w:val="004E4A3D"/>
    <w:rsid w:val="004E758F"/>
    <w:rsid w:val="004F3907"/>
    <w:rsid w:val="004F4EDC"/>
    <w:rsid w:val="005066EB"/>
    <w:rsid w:val="0051060A"/>
    <w:rsid w:val="00514186"/>
    <w:rsid w:val="005164E3"/>
    <w:rsid w:val="005266A3"/>
    <w:rsid w:val="00530BCF"/>
    <w:rsid w:val="0054212C"/>
    <w:rsid w:val="00547F50"/>
    <w:rsid w:val="00550728"/>
    <w:rsid w:val="00551339"/>
    <w:rsid w:val="00553278"/>
    <w:rsid w:val="005564ED"/>
    <w:rsid w:val="00560934"/>
    <w:rsid w:val="00562DBE"/>
    <w:rsid w:val="0057119A"/>
    <w:rsid w:val="00575715"/>
    <w:rsid w:val="00582986"/>
    <w:rsid w:val="00585D39"/>
    <w:rsid w:val="005939A3"/>
    <w:rsid w:val="00596800"/>
    <w:rsid w:val="005B7EF1"/>
    <w:rsid w:val="005C3F98"/>
    <w:rsid w:val="005C4897"/>
    <w:rsid w:val="005C5FE3"/>
    <w:rsid w:val="005D7486"/>
    <w:rsid w:val="005D77D3"/>
    <w:rsid w:val="005E428F"/>
    <w:rsid w:val="005F3BAA"/>
    <w:rsid w:val="00600229"/>
    <w:rsid w:val="00600D0F"/>
    <w:rsid w:val="00602DC6"/>
    <w:rsid w:val="00604732"/>
    <w:rsid w:val="00610FF1"/>
    <w:rsid w:val="0061500F"/>
    <w:rsid w:val="00626C40"/>
    <w:rsid w:val="00633023"/>
    <w:rsid w:val="00640201"/>
    <w:rsid w:val="00642D24"/>
    <w:rsid w:val="0064355D"/>
    <w:rsid w:val="00650C3F"/>
    <w:rsid w:val="00665F72"/>
    <w:rsid w:val="006740B9"/>
    <w:rsid w:val="00676073"/>
    <w:rsid w:val="00680AB5"/>
    <w:rsid w:val="0068465F"/>
    <w:rsid w:val="0068663E"/>
    <w:rsid w:val="00692FD2"/>
    <w:rsid w:val="00694C5B"/>
    <w:rsid w:val="00695408"/>
    <w:rsid w:val="006B060D"/>
    <w:rsid w:val="006B0DF3"/>
    <w:rsid w:val="006B2B7B"/>
    <w:rsid w:val="006C2963"/>
    <w:rsid w:val="006C5601"/>
    <w:rsid w:val="006C6E5C"/>
    <w:rsid w:val="006E36A4"/>
    <w:rsid w:val="006F1D06"/>
    <w:rsid w:val="006F3245"/>
    <w:rsid w:val="006F61C3"/>
    <w:rsid w:val="006F741D"/>
    <w:rsid w:val="00720087"/>
    <w:rsid w:val="0073154D"/>
    <w:rsid w:val="00735355"/>
    <w:rsid w:val="00736241"/>
    <w:rsid w:val="007439DF"/>
    <w:rsid w:val="00744D83"/>
    <w:rsid w:val="0074763B"/>
    <w:rsid w:val="00751DC4"/>
    <w:rsid w:val="00752172"/>
    <w:rsid w:val="0075416B"/>
    <w:rsid w:val="00755C05"/>
    <w:rsid w:val="00761AB3"/>
    <w:rsid w:val="0076444B"/>
    <w:rsid w:val="007649E4"/>
    <w:rsid w:val="00780DBC"/>
    <w:rsid w:val="00782D0A"/>
    <w:rsid w:val="0078416A"/>
    <w:rsid w:val="007923F9"/>
    <w:rsid w:val="007932C3"/>
    <w:rsid w:val="007A058B"/>
    <w:rsid w:val="007A06F5"/>
    <w:rsid w:val="007A14E8"/>
    <w:rsid w:val="007B35D3"/>
    <w:rsid w:val="007B6043"/>
    <w:rsid w:val="007C317A"/>
    <w:rsid w:val="007C69F9"/>
    <w:rsid w:val="007E1599"/>
    <w:rsid w:val="007E6026"/>
    <w:rsid w:val="007F1013"/>
    <w:rsid w:val="007F4D11"/>
    <w:rsid w:val="00805FEC"/>
    <w:rsid w:val="00823002"/>
    <w:rsid w:val="008277DF"/>
    <w:rsid w:val="008329C9"/>
    <w:rsid w:val="00842479"/>
    <w:rsid w:val="0085799F"/>
    <w:rsid w:val="00860197"/>
    <w:rsid w:val="008604DB"/>
    <w:rsid w:val="00875865"/>
    <w:rsid w:val="00882426"/>
    <w:rsid w:val="008A3224"/>
    <w:rsid w:val="008A34A3"/>
    <w:rsid w:val="008B05D3"/>
    <w:rsid w:val="008B315F"/>
    <w:rsid w:val="008C35ED"/>
    <w:rsid w:val="008C4FD4"/>
    <w:rsid w:val="008C6AE1"/>
    <w:rsid w:val="008D25AF"/>
    <w:rsid w:val="008D45E6"/>
    <w:rsid w:val="008E05EB"/>
    <w:rsid w:val="008E1B60"/>
    <w:rsid w:val="008E7510"/>
    <w:rsid w:val="008F5C66"/>
    <w:rsid w:val="008F6CA8"/>
    <w:rsid w:val="008F72BE"/>
    <w:rsid w:val="00903207"/>
    <w:rsid w:val="0090767E"/>
    <w:rsid w:val="009130BC"/>
    <w:rsid w:val="00914DD3"/>
    <w:rsid w:val="009206E8"/>
    <w:rsid w:val="0093170E"/>
    <w:rsid w:val="0093596A"/>
    <w:rsid w:val="0093659F"/>
    <w:rsid w:val="00937A19"/>
    <w:rsid w:val="0094120E"/>
    <w:rsid w:val="00941341"/>
    <w:rsid w:val="009453ED"/>
    <w:rsid w:val="00945FE3"/>
    <w:rsid w:val="00946E22"/>
    <w:rsid w:val="009476E0"/>
    <w:rsid w:val="00950A16"/>
    <w:rsid w:val="009522E0"/>
    <w:rsid w:val="0096257C"/>
    <w:rsid w:val="00962A38"/>
    <w:rsid w:val="009804C9"/>
    <w:rsid w:val="00983021"/>
    <w:rsid w:val="0098705B"/>
    <w:rsid w:val="009A0FE4"/>
    <w:rsid w:val="009A25EC"/>
    <w:rsid w:val="009A4DDB"/>
    <w:rsid w:val="009C34ED"/>
    <w:rsid w:val="009C3C74"/>
    <w:rsid w:val="009F1EEC"/>
    <w:rsid w:val="009F34D2"/>
    <w:rsid w:val="00A011C8"/>
    <w:rsid w:val="00A02AE3"/>
    <w:rsid w:val="00A07ACF"/>
    <w:rsid w:val="00A324CA"/>
    <w:rsid w:val="00A33145"/>
    <w:rsid w:val="00A3391E"/>
    <w:rsid w:val="00A35BC8"/>
    <w:rsid w:val="00A35D46"/>
    <w:rsid w:val="00A43D8B"/>
    <w:rsid w:val="00A47A81"/>
    <w:rsid w:val="00A561E2"/>
    <w:rsid w:val="00A56E82"/>
    <w:rsid w:val="00A719B0"/>
    <w:rsid w:val="00A7244E"/>
    <w:rsid w:val="00A82813"/>
    <w:rsid w:val="00A830EF"/>
    <w:rsid w:val="00AA43CF"/>
    <w:rsid w:val="00AA4A2D"/>
    <w:rsid w:val="00AB2401"/>
    <w:rsid w:val="00AB6350"/>
    <w:rsid w:val="00AC3112"/>
    <w:rsid w:val="00AC3A34"/>
    <w:rsid w:val="00AC419C"/>
    <w:rsid w:val="00AC624B"/>
    <w:rsid w:val="00AD05D7"/>
    <w:rsid w:val="00AD61CC"/>
    <w:rsid w:val="00AE6F6C"/>
    <w:rsid w:val="00AE714A"/>
    <w:rsid w:val="00AF40BE"/>
    <w:rsid w:val="00AF5CDA"/>
    <w:rsid w:val="00B06264"/>
    <w:rsid w:val="00B102AA"/>
    <w:rsid w:val="00B10D79"/>
    <w:rsid w:val="00B2135E"/>
    <w:rsid w:val="00B226F7"/>
    <w:rsid w:val="00B327F3"/>
    <w:rsid w:val="00B4000D"/>
    <w:rsid w:val="00B41E90"/>
    <w:rsid w:val="00B44C31"/>
    <w:rsid w:val="00B47F9D"/>
    <w:rsid w:val="00B53FB4"/>
    <w:rsid w:val="00B56F46"/>
    <w:rsid w:val="00B72F85"/>
    <w:rsid w:val="00B82AF9"/>
    <w:rsid w:val="00B87910"/>
    <w:rsid w:val="00B92CEE"/>
    <w:rsid w:val="00B93A57"/>
    <w:rsid w:val="00B95310"/>
    <w:rsid w:val="00BA167C"/>
    <w:rsid w:val="00BA6B94"/>
    <w:rsid w:val="00BA6E45"/>
    <w:rsid w:val="00BB2163"/>
    <w:rsid w:val="00BC2577"/>
    <w:rsid w:val="00BC3464"/>
    <w:rsid w:val="00BC51B9"/>
    <w:rsid w:val="00BD245A"/>
    <w:rsid w:val="00BE4337"/>
    <w:rsid w:val="00BE68E5"/>
    <w:rsid w:val="00BF4D15"/>
    <w:rsid w:val="00BF71C9"/>
    <w:rsid w:val="00C038DF"/>
    <w:rsid w:val="00C06861"/>
    <w:rsid w:val="00C20263"/>
    <w:rsid w:val="00C40314"/>
    <w:rsid w:val="00C444C7"/>
    <w:rsid w:val="00C47AA5"/>
    <w:rsid w:val="00C50294"/>
    <w:rsid w:val="00C529E7"/>
    <w:rsid w:val="00C6156D"/>
    <w:rsid w:val="00C62064"/>
    <w:rsid w:val="00C7589A"/>
    <w:rsid w:val="00C84294"/>
    <w:rsid w:val="00C852B6"/>
    <w:rsid w:val="00C9214A"/>
    <w:rsid w:val="00CA3232"/>
    <w:rsid w:val="00CA6E89"/>
    <w:rsid w:val="00CA77C9"/>
    <w:rsid w:val="00CB489A"/>
    <w:rsid w:val="00CC0E88"/>
    <w:rsid w:val="00CC2E85"/>
    <w:rsid w:val="00CC799C"/>
    <w:rsid w:val="00CF31CD"/>
    <w:rsid w:val="00CF3D74"/>
    <w:rsid w:val="00CF5696"/>
    <w:rsid w:val="00D00810"/>
    <w:rsid w:val="00D03452"/>
    <w:rsid w:val="00D104EB"/>
    <w:rsid w:val="00D11CB7"/>
    <w:rsid w:val="00D1781A"/>
    <w:rsid w:val="00D32A6E"/>
    <w:rsid w:val="00D504E8"/>
    <w:rsid w:val="00D5233B"/>
    <w:rsid w:val="00D7550D"/>
    <w:rsid w:val="00D7555B"/>
    <w:rsid w:val="00D75D48"/>
    <w:rsid w:val="00D77978"/>
    <w:rsid w:val="00D85504"/>
    <w:rsid w:val="00D8741B"/>
    <w:rsid w:val="00DB5AC3"/>
    <w:rsid w:val="00DC17D9"/>
    <w:rsid w:val="00DD1D62"/>
    <w:rsid w:val="00DD26A2"/>
    <w:rsid w:val="00DD3E1B"/>
    <w:rsid w:val="00DE6433"/>
    <w:rsid w:val="00E10F67"/>
    <w:rsid w:val="00E1148A"/>
    <w:rsid w:val="00E17D51"/>
    <w:rsid w:val="00E22020"/>
    <w:rsid w:val="00E235BC"/>
    <w:rsid w:val="00E32864"/>
    <w:rsid w:val="00E41D77"/>
    <w:rsid w:val="00E42997"/>
    <w:rsid w:val="00E4663D"/>
    <w:rsid w:val="00E47E28"/>
    <w:rsid w:val="00E5234B"/>
    <w:rsid w:val="00E56A3D"/>
    <w:rsid w:val="00E60E8A"/>
    <w:rsid w:val="00E71238"/>
    <w:rsid w:val="00E76861"/>
    <w:rsid w:val="00E772A1"/>
    <w:rsid w:val="00E772BF"/>
    <w:rsid w:val="00E90656"/>
    <w:rsid w:val="00E936E4"/>
    <w:rsid w:val="00EA26F8"/>
    <w:rsid w:val="00EA2AAD"/>
    <w:rsid w:val="00EA40C1"/>
    <w:rsid w:val="00EB5097"/>
    <w:rsid w:val="00EB5454"/>
    <w:rsid w:val="00ED1508"/>
    <w:rsid w:val="00ED6FE6"/>
    <w:rsid w:val="00EE6008"/>
    <w:rsid w:val="00EF1C60"/>
    <w:rsid w:val="00EF1CC2"/>
    <w:rsid w:val="00EF31C6"/>
    <w:rsid w:val="00EF3840"/>
    <w:rsid w:val="00F00E77"/>
    <w:rsid w:val="00F04C63"/>
    <w:rsid w:val="00F27D3E"/>
    <w:rsid w:val="00F42F48"/>
    <w:rsid w:val="00F462D4"/>
    <w:rsid w:val="00F471C3"/>
    <w:rsid w:val="00F51C62"/>
    <w:rsid w:val="00F5604D"/>
    <w:rsid w:val="00F608E6"/>
    <w:rsid w:val="00F63BBE"/>
    <w:rsid w:val="00F75EDA"/>
    <w:rsid w:val="00F77D70"/>
    <w:rsid w:val="00F83D49"/>
    <w:rsid w:val="00F9013C"/>
    <w:rsid w:val="00F95D94"/>
    <w:rsid w:val="00FB39F4"/>
    <w:rsid w:val="00FC695D"/>
    <w:rsid w:val="00FD07FC"/>
    <w:rsid w:val="00FD2A72"/>
    <w:rsid w:val="00FD3028"/>
    <w:rsid w:val="00FE0BEE"/>
    <w:rsid w:val="00FE2422"/>
    <w:rsid w:val="00FE5331"/>
    <w:rsid w:val="00FF1B46"/>
    <w:rsid w:val="00FF53BF"/>
    <w:rsid w:val="00FF57F6"/>
    <w:rsid w:val="00FF6F1F"/>
    <w:rsid w:val="01CC1A40"/>
    <w:rsid w:val="021B4775"/>
    <w:rsid w:val="06692FBA"/>
    <w:rsid w:val="07E50E92"/>
    <w:rsid w:val="0A365806"/>
    <w:rsid w:val="0AC319AC"/>
    <w:rsid w:val="0F5E2B9C"/>
    <w:rsid w:val="0F7F3A2A"/>
    <w:rsid w:val="0FCAD5FD"/>
    <w:rsid w:val="10F669DE"/>
    <w:rsid w:val="12EB54C2"/>
    <w:rsid w:val="14847F58"/>
    <w:rsid w:val="159675EB"/>
    <w:rsid w:val="15EFB84A"/>
    <w:rsid w:val="16974C50"/>
    <w:rsid w:val="16BFDA76"/>
    <w:rsid w:val="177D3A52"/>
    <w:rsid w:val="17B6C2A3"/>
    <w:rsid w:val="17BBC06E"/>
    <w:rsid w:val="17CE2129"/>
    <w:rsid w:val="17EF3D38"/>
    <w:rsid w:val="17FFA77D"/>
    <w:rsid w:val="1A085187"/>
    <w:rsid w:val="1AEB4D19"/>
    <w:rsid w:val="1B526075"/>
    <w:rsid w:val="1B672BB3"/>
    <w:rsid w:val="1B67B585"/>
    <w:rsid w:val="1B7FC8E2"/>
    <w:rsid w:val="1BF15E06"/>
    <w:rsid w:val="1BFA4442"/>
    <w:rsid w:val="1BFFC1B4"/>
    <w:rsid w:val="1D3C0843"/>
    <w:rsid w:val="1E584D33"/>
    <w:rsid w:val="1E7948A6"/>
    <w:rsid w:val="1EF3C8EF"/>
    <w:rsid w:val="1EFF6F52"/>
    <w:rsid w:val="1F7F37F3"/>
    <w:rsid w:val="1FB95731"/>
    <w:rsid w:val="1FEF0EED"/>
    <w:rsid w:val="1FF86D77"/>
    <w:rsid w:val="1FFD8871"/>
    <w:rsid w:val="21BFC2C1"/>
    <w:rsid w:val="242A0480"/>
    <w:rsid w:val="24705BDC"/>
    <w:rsid w:val="273A1534"/>
    <w:rsid w:val="27EF5ADE"/>
    <w:rsid w:val="27FB4DFE"/>
    <w:rsid w:val="292BBD26"/>
    <w:rsid w:val="29447E57"/>
    <w:rsid w:val="2A75E0DA"/>
    <w:rsid w:val="2C335417"/>
    <w:rsid w:val="2D2F22EB"/>
    <w:rsid w:val="2DBF1862"/>
    <w:rsid w:val="2E7BB22E"/>
    <w:rsid w:val="2ED5C25D"/>
    <w:rsid w:val="2FFB7B0E"/>
    <w:rsid w:val="30ED4397"/>
    <w:rsid w:val="30F51B0D"/>
    <w:rsid w:val="31512748"/>
    <w:rsid w:val="327C2064"/>
    <w:rsid w:val="32A53D10"/>
    <w:rsid w:val="32E75215"/>
    <w:rsid w:val="33446DD8"/>
    <w:rsid w:val="33964A43"/>
    <w:rsid w:val="33BD96C9"/>
    <w:rsid w:val="3478FD3B"/>
    <w:rsid w:val="34C545EA"/>
    <w:rsid w:val="350B691C"/>
    <w:rsid w:val="35FD6B84"/>
    <w:rsid w:val="35FF6C41"/>
    <w:rsid w:val="35FFA103"/>
    <w:rsid w:val="365FE963"/>
    <w:rsid w:val="36C7A795"/>
    <w:rsid w:val="37D270A9"/>
    <w:rsid w:val="37D31E82"/>
    <w:rsid w:val="37F7809A"/>
    <w:rsid w:val="399565E0"/>
    <w:rsid w:val="3ADDA097"/>
    <w:rsid w:val="3B7E7D56"/>
    <w:rsid w:val="3BBE0F9A"/>
    <w:rsid w:val="3BCF7730"/>
    <w:rsid w:val="3BF725E0"/>
    <w:rsid w:val="3BFBF273"/>
    <w:rsid w:val="3BFD26E4"/>
    <w:rsid w:val="3BFF0771"/>
    <w:rsid w:val="3C12216A"/>
    <w:rsid w:val="3CFF72C5"/>
    <w:rsid w:val="3D9DD624"/>
    <w:rsid w:val="3DAB5EBA"/>
    <w:rsid w:val="3DEFA9F2"/>
    <w:rsid w:val="3DF3C86E"/>
    <w:rsid w:val="3ECAC84C"/>
    <w:rsid w:val="3EF76ACB"/>
    <w:rsid w:val="3EFB41F2"/>
    <w:rsid w:val="3F5F4240"/>
    <w:rsid w:val="3F7BEE77"/>
    <w:rsid w:val="3FB668E4"/>
    <w:rsid w:val="3FBFF260"/>
    <w:rsid w:val="3FD92A3E"/>
    <w:rsid w:val="3FEF23FA"/>
    <w:rsid w:val="3FF0DCC8"/>
    <w:rsid w:val="3FF57F37"/>
    <w:rsid w:val="3FF7137C"/>
    <w:rsid w:val="3FF71C72"/>
    <w:rsid w:val="3FFB5F92"/>
    <w:rsid w:val="3FFF50AD"/>
    <w:rsid w:val="40583BC3"/>
    <w:rsid w:val="408E73B5"/>
    <w:rsid w:val="40D53766"/>
    <w:rsid w:val="4305631D"/>
    <w:rsid w:val="43A055EF"/>
    <w:rsid w:val="45F8CE6B"/>
    <w:rsid w:val="47BF50EF"/>
    <w:rsid w:val="47DFF301"/>
    <w:rsid w:val="48BFAD72"/>
    <w:rsid w:val="49AC2B81"/>
    <w:rsid w:val="4A35F3AD"/>
    <w:rsid w:val="4BD07A86"/>
    <w:rsid w:val="4D32FB4C"/>
    <w:rsid w:val="4EBF3093"/>
    <w:rsid w:val="4EDFAE00"/>
    <w:rsid w:val="4F9B4BDA"/>
    <w:rsid w:val="4FAF7337"/>
    <w:rsid w:val="4FFAE02C"/>
    <w:rsid w:val="4FFF460D"/>
    <w:rsid w:val="50ED1619"/>
    <w:rsid w:val="516FDEC3"/>
    <w:rsid w:val="51D13AD5"/>
    <w:rsid w:val="535624E4"/>
    <w:rsid w:val="536F073F"/>
    <w:rsid w:val="53731939"/>
    <w:rsid w:val="53E90DC1"/>
    <w:rsid w:val="54680721"/>
    <w:rsid w:val="54F3BD53"/>
    <w:rsid w:val="54FF9442"/>
    <w:rsid w:val="554D5EAC"/>
    <w:rsid w:val="57BAD169"/>
    <w:rsid w:val="57DF3D15"/>
    <w:rsid w:val="57DFDC94"/>
    <w:rsid w:val="57EB7B42"/>
    <w:rsid w:val="57FD754E"/>
    <w:rsid w:val="57FEF054"/>
    <w:rsid w:val="57FF76F9"/>
    <w:rsid w:val="59FEBA82"/>
    <w:rsid w:val="5B27C3AC"/>
    <w:rsid w:val="5BABDEC5"/>
    <w:rsid w:val="5BDFA3DF"/>
    <w:rsid w:val="5BE74B81"/>
    <w:rsid w:val="5BEB01AA"/>
    <w:rsid w:val="5BF9AAF9"/>
    <w:rsid w:val="5BFD30E1"/>
    <w:rsid w:val="5D5F4A20"/>
    <w:rsid w:val="5D7BF844"/>
    <w:rsid w:val="5DBFCF28"/>
    <w:rsid w:val="5DFB2A50"/>
    <w:rsid w:val="5E7F692A"/>
    <w:rsid w:val="5EDF67C8"/>
    <w:rsid w:val="5EFF05BA"/>
    <w:rsid w:val="5F1F31B7"/>
    <w:rsid w:val="5F3E4F45"/>
    <w:rsid w:val="5F6F1C9E"/>
    <w:rsid w:val="5F7C409A"/>
    <w:rsid w:val="5F7E92C4"/>
    <w:rsid w:val="5FAB9A0B"/>
    <w:rsid w:val="5FE12A79"/>
    <w:rsid w:val="5FE56F25"/>
    <w:rsid w:val="5FEFBC4C"/>
    <w:rsid w:val="5FF876FE"/>
    <w:rsid w:val="5FFD044C"/>
    <w:rsid w:val="5FFFD7D0"/>
    <w:rsid w:val="5FFFFB39"/>
    <w:rsid w:val="60D82ACC"/>
    <w:rsid w:val="61470B4D"/>
    <w:rsid w:val="616B1851"/>
    <w:rsid w:val="626D2A76"/>
    <w:rsid w:val="62FEF3EA"/>
    <w:rsid w:val="633BC343"/>
    <w:rsid w:val="63F53E4A"/>
    <w:rsid w:val="64112789"/>
    <w:rsid w:val="65FA4BFF"/>
    <w:rsid w:val="66C67529"/>
    <w:rsid w:val="671013B3"/>
    <w:rsid w:val="677E777D"/>
    <w:rsid w:val="67BB4BB4"/>
    <w:rsid w:val="68BF6F8E"/>
    <w:rsid w:val="692176FC"/>
    <w:rsid w:val="6953D380"/>
    <w:rsid w:val="696BCE12"/>
    <w:rsid w:val="69DC461E"/>
    <w:rsid w:val="6ADC036A"/>
    <w:rsid w:val="6AEF0117"/>
    <w:rsid w:val="6BCE4C44"/>
    <w:rsid w:val="6BDE6032"/>
    <w:rsid w:val="6BDF05C4"/>
    <w:rsid w:val="6BDF36B5"/>
    <w:rsid w:val="6BEE630D"/>
    <w:rsid w:val="6BEFA911"/>
    <w:rsid w:val="6BF75424"/>
    <w:rsid w:val="6BFF8BC0"/>
    <w:rsid w:val="6C07ADE2"/>
    <w:rsid w:val="6D3E6A51"/>
    <w:rsid w:val="6D57D810"/>
    <w:rsid w:val="6DB123F6"/>
    <w:rsid w:val="6DE7862E"/>
    <w:rsid w:val="6DFC43BE"/>
    <w:rsid w:val="6DFD60E9"/>
    <w:rsid w:val="6DFE4A2C"/>
    <w:rsid w:val="6DFF793F"/>
    <w:rsid w:val="6E7B86E4"/>
    <w:rsid w:val="6EB788C1"/>
    <w:rsid w:val="6EBB229C"/>
    <w:rsid w:val="6EDE8759"/>
    <w:rsid w:val="6EDEF351"/>
    <w:rsid w:val="6EFA30DF"/>
    <w:rsid w:val="6EFE97D7"/>
    <w:rsid w:val="6F223039"/>
    <w:rsid w:val="6F6FC48D"/>
    <w:rsid w:val="6F75BB17"/>
    <w:rsid w:val="6F7D0098"/>
    <w:rsid w:val="6FBF8D8F"/>
    <w:rsid w:val="6FCD9F65"/>
    <w:rsid w:val="6FCF9866"/>
    <w:rsid w:val="6FDD6BFC"/>
    <w:rsid w:val="6FDFA035"/>
    <w:rsid w:val="6FF52F76"/>
    <w:rsid w:val="6FFDD9A5"/>
    <w:rsid w:val="6FFF0B70"/>
    <w:rsid w:val="6FFFA9D8"/>
    <w:rsid w:val="70473489"/>
    <w:rsid w:val="70FD42BC"/>
    <w:rsid w:val="71775D74"/>
    <w:rsid w:val="71B371E3"/>
    <w:rsid w:val="71BA0C33"/>
    <w:rsid w:val="71F33F0B"/>
    <w:rsid w:val="72FF21FE"/>
    <w:rsid w:val="73577D8C"/>
    <w:rsid w:val="73F8844F"/>
    <w:rsid w:val="73FEF53F"/>
    <w:rsid w:val="74223159"/>
    <w:rsid w:val="74BF941C"/>
    <w:rsid w:val="74DEBB8B"/>
    <w:rsid w:val="74EFE397"/>
    <w:rsid w:val="75134281"/>
    <w:rsid w:val="755ABB90"/>
    <w:rsid w:val="756267BD"/>
    <w:rsid w:val="7567AB9C"/>
    <w:rsid w:val="757F2BD9"/>
    <w:rsid w:val="757F9695"/>
    <w:rsid w:val="75CEBED0"/>
    <w:rsid w:val="75ED567D"/>
    <w:rsid w:val="75FEC880"/>
    <w:rsid w:val="75FFBE1C"/>
    <w:rsid w:val="75FFC9BA"/>
    <w:rsid w:val="761A3C81"/>
    <w:rsid w:val="76861D13"/>
    <w:rsid w:val="769FD087"/>
    <w:rsid w:val="76BE1A6C"/>
    <w:rsid w:val="76EEFE23"/>
    <w:rsid w:val="76F7792E"/>
    <w:rsid w:val="770F83CD"/>
    <w:rsid w:val="777D983C"/>
    <w:rsid w:val="77BF985E"/>
    <w:rsid w:val="77BFB381"/>
    <w:rsid w:val="77EB0A30"/>
    <w:rsid w:val="77F7A577"/>
    <w:rsid w:val="77FD2DD1"/>
    <w:rsid w:val="77FFD227"/>
    <w:rsid w:val="77FFE042"/>
    <w:rsid w:val="786F6BBB"/>
    <w:rsid w:val="789125A4"/>
    <w:rsid w:val="78A551F0"/>
    <w:rsid w:val="7955109C"/>
    <w:rsid w:val="79A96382"/>
    <w:rsid w:val="79C33213"/>
    <w:rsid w:val="79D3C3D0"/>
    <w:rsid w:val="79F72244"/>
    <w:rsid w:val="79F7D4A2"/>
    <w:rsid w:val="79FE0439"/>
    <w:rsid w:val="7AEC944A"/>
    <w:rsid w:val="7B1FA6F6"/>
    <w:rsid w:val="7B2AABAE"/>
    <w:rsid w:val="7B341286"/>
    <w:rsid w:val="7B56316B"/>
    <w:rsid w:val="7B6E1E1B"/>
    <w:rsid w:val="7BBE0771"/>
    <w:rsid w:val="7BD72066"/>
    <w:rsid w:val="7BDDC4A3"/>
    <w:rsid w:val="7BF3C519"/>
    <w:rsid w:val="7BFA144B"/>
    <w:rsid w:val="7BFFA358"/>
    <w:rsid w:val="7C54566E"/>
    <w:rsid w:val="7C5F8FDA"/>
    <w:rsid w:val="7C7D4167"/>
    <w:rsid w:val="7CBDD19A"/>
    <w:rsid w:val="7CFCADF1"/>
    <w:rsid w:val="7CFF8BFD"/>
    <w:rsid w:val="7D397FB7"/>
    <w:rsid w:val="7D6736E3"/>
    <w:rsid w:val="7D7377E8"/>
    <w:rsid w:val="7D8116E4"/>
    <w:rsid w:val="7DBF6886"/>
    <w:rsid w:val="7DBFA8D5"/>
    <w:rsid w:val="7DDDD8B2"/>
    <w:rsid w:val="7DDE0CEE"/>
    <w:rsid w:val="7DFC5C92"/>
    <w:rsid w:val="7DFE5D73"/>
    <w:rsid w:val="7DFF7E4E"/>
    <w:rsid w:val="7DFFDAF8"/>
    <w:rsid w:val="7E787EB7"/>
    <w:rsid w:val="7EB8A718"/>
    <w:rsid w:val="7ED7E27B"/>
    <w:rsid w:val="7EDC4E86"/>
    <w:rsid w:val="7EDE09CB"/>
    <w:rsid w:val="7EEB91CC"/>
    <w:rsid w:val="7EF2A455"/>
    <w:rsid w:val="7EF7AF70"/>
    <w:rsid w:val="7EFF3402"/>
    <w:rsid w:val="7F179CF0"/>
    <w:rsid w:val="7F2BE7C6"/>
    <w:rsid w:val="7F3AB47F"/>
    <w:rsid w:val="7F3F12B6"/>
    <w:rsid w:val="7F57D7C8"/>
    <w:rsid w:val="7F5B6313"/>
    <w:rsid w:val="7F6D60C9"/>
    <w:rsid w:val="7F7EA3C0"/>
    <w:rsid w:val="7FA5CC08"/>
    <w:rsid w:val="7FAB911C"/>
    <w:rsid w:val="7FACE480"/>
    <w:rsid w:val="7FB11C79"/>
    <w:rsid w:val="7FB56435"/>
    <w:rsid w:val="7FBD1E61"/>
    <w:rsid w:val="7FBF1A1B"/>
    <w:rsid w:val="7FCE92E5"/>
    <w:rsid w:val="7FCF1F29"/>
    <w:rsid w:val="7FD2D104"/>
    <w:rsid w:val="7FD72413"/>
    <w:rsid w:val="7FDD2C05"/>
    <w:rsid w:val="7FDD85A0"/>
    <w:rsid w:val="7FDD95D2"/>
    <w:rsid w:val="7FE993DB"/>
    <w:rsid w:val="7FEF9FD2"/>
    <w:rsid w:val="7FF3E1C0"/>
    <w:rsid w:val="7FF3F85B"/>
    <w:rsid w:val="7FF566CD"/>
    <w:rsid w:val="7FF75800"/>
    <w:rsid w:val="7FF7B62B"/>
    <w:rsid w:val="7FFAFB55"/>
    <w:rsid w:val="7FFB297B"/>
    <w:rsid w:val="7FFC5838"/>
    <w:rsid w:val="7FFD9899"/>
    <w:rsid w:val="7FFEEE55"/>
    <w:rsid w:val="7FFF1975"/>
    <w:rsid w:val="7FFF391B"/>
    <w:rsid w:val="7FFF633F"/>
    <w:rsid w:val="7FFF8903"/>
    <w:rsid w:val="7FFFAD8B"/>
    <w:rsid w:val="7FFFBCF7"/>
    <w:rsid w:val="8EBF225C"/>
    <w:rsid w:val="8F5D59A4"/>
    <w:rsid w:val="8F5F6B2D"/>
    <w:rsid w:val="8FFB0B75"/>
    <w:rsid w:val="97BF2327"/>
    <w:rsid w:val="98B74015"/>
    <w:rsid w:val="9B9C1F6C"/>
    <w:rsid w:val="9BDF3334"/>
    <w:rsid w:val="9C7EF351"/>
    <w:rsid w:val="9D7B2324"/>
    <w:rsid w:val="9F8F6FA3"/>
    <w:rsid w:val="9FCE4ACA"/>
    <w:rsid w:val="9FD4B984"/>
    <w:rsid w:val="9FF99F35"/>
    <w:rsid w:val="9FFB9794"/>
    <w:rsid w:val="9FFC9604"/>
    <w:rsid w:val="9FFFDB11"/>
    <w:rsid w:val="A5FE2FD1"/>
    <w:rsid w:val="A67C683F"/>
    <w:rsid w:val="A7DBCE3C"/>
    <w:rsid w:val="ABBBED28"/>
    <w:rsid w:val="AD9F8C9A"/>
    <w:rsid w:val="ADEC83D2"/>
    <w:rsid w:val="ADFF10CC"/>
    <w:rsid w:val="AE3F0DDE"/>
    <w:rsid w:val="AE5E2D17"/>
    <w:rsid w:val="AECFD7CF"/>
    <w:rsid w:val="AEFF80E1"/>
    <w:rsid w:val="AF7EFD40"/>
    <w:rsid w:val="AFEDA70A"/>
    <w:rsid w:val="AFF7119B"/>
    <w:rsid w:val="AFFB44B1"/>
    <w:rsid w:val="AFFFE447"/>
    <w:rsid w:val="AFFFF3BB"/>
    <w:rsid w:val="B0F7249B"/>
    <w:rsid w:val="B2AB062D"/>
    <w:rsid w:val="B2FFB3C6"/>
    <w:rsid w:val="B35B6153"/>
    <w:rsid w:val="B37B5FD8"/>
    <w:rsid w:val="B38ED6A9"/>
    <w:rsid w:val="B5BC6AC8"/>
    <w:rsid w:val="B5C629E9"/>
    <w:rsid w:val="B5FFC808"/>
    <w:rsid w:val="B66DE0F3"/>
    <w:rsid w:val="B71F229D"/>
    <w:rsid w:val="B78EF67C"/>
    <w:rsid w:val="B7E93359"/>
    <w:rsid w:val="B7FA287C"/>
    <w:rsid w:val="B7FC8FD4"/>
    <w:rsid w:val="B7FF31FE"/>
    <w:rsid w:val="BA774207"/>
    <w:rsid w:val="BB6F226D"/>
    <w:rsid w:val="BB7C7785"/>
    <w:rsid w:val="BBF73F6B"/>
    <w:rsid w:val="BD5F48BC"/>
    <w:rsid w:val="BDFF14D8"/>
    <w:rsid w:val="BE7DF3AB"/>
    <w:rsid w:val="BEEB588E"/>
    <w:rsid w:val="BEFC921C"/>
    <w:rsid w:val="BEFF10AD"/>
    <w:rsid w:val="BF5E20FA"/>
    <w:rsid w:val="BF5FCF62"/>
    <w:rsid w:val="BF7D4196"/>
    <w:rsid w:val="BF7F1BD2"/>
    <w:rsid w:val="BFA33CA7"/>
    <w:rsid w:val="BFB5558A"/>
    <w:rsid w:val="BFBDDB71"/>
    <w:rsid w:val="BFEFF3F7"/>
    <w:rsid w:val="BFFDAF01"/>
    <w:rsid w:val="BFFF8EE6"/>
    <w:rsid w:val="BFFFACE1"/>
    <w:rsid w:val="BFFFCC8A"/>
    <w:rsid w:val="BFFFE75D"/>
    <w:rsid w:val="C7BBC6D6"/>
    <w:rsid w:val="C89ED9A7"/>
    <w:rsid w:val="CB26FCAB"/>
    <w:rsid w:val="CBF60B7A"/>
    <w:rsid w:val="CCDD36C3"/>
    <w:rsid w:val="CF6F4FE5"/>
    <w:rsid w:val="CF7F0D62"/>
    <w:rsid w:val="D1F503FA"/>
    <w:rsid w:val="D3FF088E"/>
    <w:rsid w:val="D5FC47EA"/>
    <w:rsid w:val="D6BD08E7"/>
    <w:rsid w:val="D6EB119C"/>
    <w:rsid w:val="D6FB60DE"/>
    <w:rsid w:val="D6FDA787"/>
    <w:rsid w:val="D75DA396"/>
    <w:rsid w:val="D77A959F"/>
    <w:rsid w:val="D77F9707"/>
    <w:rsid w:val="D7B710EC"/>
    <w:rsid w:val="D7F00430"/>
    <w:rsid w:val="D7FE7EB6"/>
    <w:rsid w:val="D97BE255"/>
    <w:rsid w:val="DACF21D7"/>
    <w:rsid w:val="DB5DBF45"/>
    <w:rsid w:val="DB7387A1"/>
    <w:rsid w:val="DBA799E2"/>
    <w:rsid w:val="DBEEED63"/>
    <w:rsid w:val="DC7ABEE3"/>
    <w:rsid w:val="DC7F37B0"/>
    <w:rsid w:val="DC9E4C42"/>
    <w:rsid w:val="DD5FA653"/>
    <w:rsid w:val="DDC3496C"/>
    <w:rsid w:val="DDFB2394"/>
    <w:rsid w:val="DE77926B"/>
    <w:rsid w:val="DE7DE59B"/>
    <w:rsid w:val="DEE262E6"/>
    <w:rsid w:val="DEEFF9CF"/>
    <w:rsid w:val="DEFB13D7"/>
    <w:rsid w:val="DF3F2014"/>
    <w:rsid w:val="DF9FAA1C"/>
    <w:rsid w:val="DFBBD75C"/>
    <w:rsid w:val="DFD9770E"/>
    <w:rsid w:val="DFDD016C"/>
    <w:rsid w:val="DFDF029D"/>
    <w:rsid w:val="DFE3F1F5"/>
    <w:rsid w:val="DFE61A72"/>
    <w:rsid w:val="DFF34AD3"/>
    <w:rsid w:val="DFF39B79"/>
    <w:rsid w:val="DFF720EC"/>
    <w:rsid w:val="DFFB60A3"/>
    <w:rsid w:val="DFFD31B0"/>
    <w:rsid w:val="DFFF47CA"/>
    <w:rsid w:val="DFFFAE61"/>
    <w:rsid w:val="DFFFFB80"/>
    <w:rsid w:val="E2DB5A87"/>
    <w:rsid w:val="E5FC02D1"/>
    <w:rsid w:val="E6BB69F9"/>
    <w:rsid w:val="E6EF37CC"/>
    <w:rsid w:val="E6EF91AE"/>
    <w:rsid w:val="E72F10DC"/>
    <w:rsid w:val="E778A862"/>
    <w:rsid w:val="E7DF50C1"/>
    <w:rsid w:val="E87B70A2"/>
    <w:rsid w:val="E8D76BCE"/>
    <w:rsid w:val="E97F65EC"/>
    <w:rsid w:val="EADC83D7"/>
    <w:rsid w:val="EB7B6DE1"/>
    <w:rsid w:val="EBDECC2E"/>
    <w:rsid w:val="EBEFA9BB"/>
    <w:rsid w:val="ECEAAF28"/>
    <w:rsid w:val="EDBFD3AA"/>
    <w:rsid w:val="EDEF4004"/>
    <w:rsid w:val="EDFD232B"/>
    <w:rsid w:val="EDFE5F27"/>
    <w:rsid w:val="EDFF7865"/>
    <w:rsid w:val="EDFFCF00"/>
    <w:rsid w:val="EE8AFE1C"/>
    <w:rsid w:val="EEFA5F6E"/>
    <w:rsid w:val="EF3FE0F5"/>
    <w:rsid w:val="EF5DC768"/>
    <w:rsid w:val="EF7F2C56"/>
    <w:rsid w:val="EFABB031"/>
    <w:rsid w:val="EFADAA4C"/>
    <w:rsid w:val="EFD55489"/>
    <w:rsid w:val="EFDD93C1"/>
    <w:rsid w:val="EFE31411"/>
    <w:rsid w:val="EFEF0094"/>
    <w:rsid w:val="EFFB89B2"/>
    <w:rsid w:val="EFFDE6FA"/>
    <w:rsid w:val="F1BF1DBA"/>
    <w:rsid w:val="F1EDC61B"/>
    <w:rsid w:val="F1F395D8"/>
    <w:rsid w:val="F1FF3360"/>
    <w:rsid w:val="F2DEA05A"/>
    <w:rsid w:val="F2FF3A7A"/>
    <w:rsid w:val="F3794464"/>
    <w:rsid w:val="F3CF073D"/>
    <w:rsid w:val="F3EF9127"/>
    <w:rsid w:val="F3FA869C"/>
    <w:rsid w:val="F4FF43E7"/>
    <w:rsid w:val="F4FF84A5"/>
    <w:rsid w:val="F57D3FA1"/>
    <w:rsid w:val="F5D77FD0"/>
    <w:rsid w:val="F5FE7683"/>
    <w:rsid w:val="F60B0D17"/>
    <w:rsid w:val="F639FDF8"/>
    <w:rsid w:val="F7798D0D"/>
    <w:rsid w:val="F7BFF8A7"/>
    <w:rsid w:val="F7D76496"/>
    <w:rsid w:val="F7DB7B04"/>
    <w:rsid w:val="F7DEACCC"/>
    <w:rsid w:val="F7EDAF2A"/>
    <w:rsid w:val="F7EEC0BA"/>
    <w:rsid w:val="F7F597CB"/>
    <w:rsid w:val="F7F715EE"/>
    <w:rsid w:val="F7F938C5"/>
    <w:rsid w:val="F7FF38DD"/>
    <w:rsid w:val="F7FF61F0"/>
    <w:rsid w:val="F7FFD1F6"/>
    <w:rsid w:val="F8A1B925"/>
    <w:rsid w:val="F8D04070"/>
    <w:rsid w:val="F8E8D507"/>
    <w:rsid w:val="F93B35A3"/>
    <w:rsid w:val="F9841BE9"/>
    <w:rsid w:val="F9FA1080"/>
    <w:rsid w:val="FA3D022F"/>
    <w:rsid w:val="FA7F6236"/>
    <w:rsid w:val="FABC5063"/>
    <w:rsid w:val="FB1FB846"/>
    <w:rsid w:val="FB770C10"/>
    <w:rsid w:val="FB9D71D8"/>
    <w:rsid w:val="FBA94DEF"/>
    <w:rsid w:val="FBDB2C9C"/>
    <w:rsid w:val="FBDFBDCF"/>
    <w:rsid w:val="FBF758AD"/>
    <w:rsid w:val="FBF9AB6F"/>
    <w:rsid w:val="FBFC24EB"/>
    <w:rsid w:val="FBFF6260"/>
    <w:rsid w:val="FBFFB511"/>
    <w:rsid w:val="FBFFD543"/>
    <w:rsid w:val="FC6BECB3"/>
    <w:rsid w:val="FC798D9B"/>
    <w:rsid w:val="FCFC698F"/>
    <w:rsid w:val="FCFF4F1C"/>
    <w:rsid w:val="FCFFC361"/>
    <w:rsid w:val="FD3D36C1"/>
    <w:rsid w:val="FD59D062"/>
    <w:rsid w:val="FD5DE01D"/>
    <w:rsid w:val="FD6D1428"/>
    <w:rsid w:val="FD7579DB"/>
    <w:rsid w:val="FD7AEB45"/>
    <w:rsid w:val="FDD5052B"/>
    <w:rsid w:val="FDDAC906"/>
    <w:rsid w:val="FDDFBC8D"/>
    <w:rsid w:val="FDE92824"/>
    <w:rsid w:val="FDED4FE7"/>
    <w:rsid w:val="FDEF0B21"/>
    <w:rsid w:val="FDEFFB1A"/>
    <w:rsid w:val="FDF5B80F"/>
    <w:rsid w:val="FDFBE4BF"/>
    <w:rsid w:val="FDFD87BE"/>
    <w:rsid w:val="FDFF84B5"/>
    <w:rsid w:val="FDFFDA72"/>
    <w:rsid w:val="FE31A3AF"/>
    <w:rsid w:val="FE5D4482"/>
    <w:rsid w:val="FEB7EB15"/>
    <w:rsid w:val="FEDB0CBA"/>
    <w:rsid w:val="FEEFC20F"/>
    <w:rsid w:val="FEFA5691"/>
    <w:rsid w:val="FEFB3EE1"/>
    <w:rsid w:val="FEFF92FD"/>
    <w:rsid w:val="FEFFF2F2"/>
    <w:rsid w:val="FF1FC617"/>
    <w:rsid w:val="FF3FD0B3"/>
    <w:rsid w:val="FF4DFF11"/>
    <w:rsid w:val="FF4F0527"/>
    <w:rsid w:val="FF5BCBA9"/>
    <w:rsid w:val="FF5FD35F"/>
    <w:rsid w:val="FF7C733A"/>
    <w:rsid w:val="FF8A1E4E"/>
    <w:rsid w:val="FF9C3594"/>
    <w:rsid w:val="FFAF580F"/>
    <w:rsid w:val="FFBB58BA"/>
    <w:rsid w:val="FFBBEB92"/>
    <w:rsid w:val="FFBDA195"/>
    <w:rsid w:val="FFCEDCEE"/>
    <w:rsid w:val="FFD7A303"/>
    <w:rsid w:val="FFD7A69E"/>
    <w:rsid w:val="FFDB1E84"/>
    <w:rsid w:val="FFDC3DD8"/>
    <w:rsid w:val="FFDD06B4"/>
    <w:rsid w:val="FFDE9A2D"/>
    <w:rsid w:val="FFE57E77"/>
    <w:rsid w:val="FFEB7DAB"/>
    <w:rsid w:val="FFEC12BB"/>
    <w:rsid w:val="FFECA782"/>
    <w:rsid w:val="FFED928B"/>
    <w:rsid w:val="FFEF5E18"/>
    <w:rsid w:val="FFF74132"/>
    <w:rsid w:val="FFF74AA8"/>
    <w:rsid w:val="FFF99E5D"/>
    <w:rsid w:val="FFFA308C"/>
    <w:rsid w:val="FFFB2AC2"/>
    <w:rsid w:val="FFFBEB14"/>
    <w:rsid w:val="FFFDC175"/>
    <w:rsid w:val="FFFE6FA3"/>
    <w:rsid w:val="FFFEB776"/>
    <w:rsid w:val="FFFF08E6"/>
    <w:rsid w:val="FFFF3D51"/>
    <w:rsid w:val="FFFF533E"/>
    <w:rsid w:val="FFFF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420" w:leftChars="200" w:firstLine="420"/>
    </w:pPr>
  </w:style>
  <w:style w:type="paragraph" w:styleId="3">
    <w:name w:val="Body Text Indent"/>
    <w:basedOn w:val="1"/>
    <w:qFormat/>
    <w:uiPriority w:val="0"/>
    <w:pPr>
      <w:ind w:firstLine="630"/>
    </w:pPr>
    <w:rPr>
      <w:szCs w:val="20"/>
    </w:rPr>
  </w:style>
  <w:style w:type="paragraph" w:styleId="4">
    <w:name w:val="Plain Text"/>
    <w:basedOn w:val="1"/>
    <w:link w:val="16"/>
    <w:qFormat/>
    <w:uiPriority w:val="0"/>
    <w:rPr>
      <w:rFonts w:ascii="宋体" w:hAnsi="Courier New" w:eastAsia="宋体" w:cs="Courier New"/>
      <w:sz w:val="21"/>
      <w:szCs w:val="21"/>
    </w:rPr>
  </w:style>
  <w:style w:type="paragraph" w:styleId="5">
    <w:name w:val="Date"/>
    <w:basedOn w:val="1"/>
    <w:next w:val="1"/>
    <w:link w:val="18"/>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spacing w:line="560" w:lineRule="exact"/>
    </w:pPr>
    <w:rPr>
      <w:rFonts w:eastAsia="宋体"/>
      <w:sz w:val="24"/>
    </w:rPr>
  </w:style>
  <w:style w:type="paragraph" w:styleId="10">
    <w:name w:val="Title"/>
    <w:basedOn w:val="1"/>
    <w:next w:val="1"/>
    <w:qFormat/>
    <w:uiPriority w:val="10"/>
    <w:pPr>
      <w:jc w:val="center"/>
      <w:outlineLvl w:val="0"/>
    </w:pPr>
    <w:rPr>
      <w:rFonts w:ascii="Arial" w:hAnsi="Arial"/>
      <w:b/>
      <w:sz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semiHidden/>
    <w:qFormat/>
    <w:uiPriority w:val="99"/>
    <w:rPr>
      <w:sz w:val="18"/>
      <w:szCs w:val="18"/>
    </w:rPr>
  </w:style>
  <w:style w:type="character" w:customStyle="1" w:styleId="15">
    <w:name w:val="页脚 Char"/>
    <w:basedOn w:val="13"/>
    <w:link w:val="6"/>
    <w:qFormat/>
    <w:uiPriority w:val="99"/>
    <w:rPr>
      <w:sz w:val="18"/>
      <w:szCs w:val="18"/>
    </w:rPr>
  </w:style>
  <w:style w:type="character" w:customStyle="1" w:styleId="16">
    <w:name w:val="纯文本 Char"/>
    <w:basedOn w:val="13"/>
    <w:link w:val="4"/>
    <w:qFormat/>
    <w:uiPriority w:val="0"/>
    <w:rPr>
      <w:rFonts w:ascii="宋体" w:hAnsi="Courier New" w:eastAsia="宋体" w:cs="Courier New"/>
      <w:szCs w:val="21"/>
    </w:rPr>
  </w:style>
  <w:style w:type="paragraph" w:styleId="17">
    <w:name w:val="List Paragraph"/>
    <w:basedOn w:val="1"/>
    <w:qFormat/>
    <w:uiPriority w:val="34"/>
    <w:pPr>
      <w:ind w:firstLine="420" w:firstLineChars="200"/>
    </w:pPr>
  </w:style>
  <w:style w:type="character" w:customStyle="1" w:styleId="18">
    <w:name w:val="日期 Char"/>
    <w:basedOn w:val="13"/>
    <w:link w:val="5"/>
    <w:semiHidden/>
    <w:qFormat/>
    <w:uiPriority w:val="99"/>
    <w:rPr>
      <w:rFonts w:ascii="Times New Roman" w:hAnsi="Times New Roman" w:eastAsia="仿宋_GB2312" w:cs="Times New Roman"/>
      <w:sz w:val="30"/>
      <w:szCs w:val="24"/>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Pages>
  <Words>3585</Words>
  <Characters>4292</Characters>
  <Lines>38</Lines>
  <Paragraphs>10</Paragraphs>
  <TotalTime>17</TotalTime>
  <ScaleCrop>false</ScaleCrop>
  <LinksUpToDate>false</LinksUpToDate>
  <CharactersWithSpaces>4350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2021-12-02T18:40:00Z</dcterms:created>
  <dc:creator>牟伶俐</dc:creator>
  <cp:lastModifiedBy>无形的手</cp:lastModifiedBy>
  <cp:lastPrinted>2025-03-10T17:54:00Z</cp:lastPrinted>
  <dcterms:modified xsi:type="dcterms:W3CDTF">2025-06-17T07:18:49Z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47BB76FA37244270AEEE1B5355229B5D</vt:lpwstr>
  </property>
  <property fmtid="{D5CDD505-2E9C-101B-9397-08002B2CF9AE}" pid="4" name="KSOTemplateDocerSaveRecord">
    <vt:lpwstr>eyJoZGlkIjoiMTAyMzJkOGNiMDEyZDQzM2FkNGM4ODJmZGE4NDczMDMiLCJ1c2VySWQiOiIzOTcwMzg5MTcifQ==</vt:lpwstr>
  </property>
</Properties>
</file>