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14:paraId="6EBFFF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再融资专项债券（十期）</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再融资专项债券（十期）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163.79亿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品种为再融资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为30年，债券利息按半年支付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再融资一般债券（五期）</w:t>
      </w:r>
      <w:r>
        <w:rPr>
          <w:rFonts w:hint="eastAsia" w:ascii="Times New Roman" w:hAnsi="Times New Roman" w:eastAsia="仿宋_GB2312" w:cs="Times New Roman"/>
          <w:color w:val="auto"/>
          <w:sz w:val="32"/>
          <w:szCs w:val="32"/>
          <w:highlight w:val="none"/>
          <w:lang w:val="en-US" w:eastAsia="zh-CN"/>
        </w:rPr>
        <w:t>及再融资专项债券（十期）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再融资专项债券（十期）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上海证券交易所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再融资一般债券（五期）</w:t>
      </w:r>
      <w:r>
        <w:rPr>
          <w:rFonts w:hint="eastAsia" w:ascii="Times New Roman" w:hAnsi="Times New Roman" w:eastAsia="仿宋_GB2312" w:cs="Times New Roman"/>
          <w:color w:val="auto"/>
          <w:sz w:val="32"/>
          <w:szCs w:val="32"/>
          <w:highlight w:val="none"/>
          <w:lang w:val="en-US" w:eastAsia="zh-CN"/>
        </w:rPr>
        <w:t>及再融资专项债券（十期）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373ADE77">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置换存量隐性债务。</w:t>
      </w:r>
    </w:p>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再融资专项债券（十期）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再融资专项债券（十期）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18</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8152DE-7277-4FE5-B779-5501E12BD5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A6E7BAA-B09B-4522-B819-3728CFE5425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18553A71-6F0C-452E-BD5F-5764FC865B30}"/>
  </w:font>
  <w:font w:name="方正小标宋简体">
    <w:panose1 w:val="02010600010101010101"/>
    <w:charset w:val="86"/>
    <w:family w:val="auto"/>
    <w:pitch w:val="default"/>
    <w:sig w:usb0="00000001" w:usb1="080E0000" w:usb2="00000000" w:usb3="00000000" w:csb0="00040000" w:csb1="00000000"/>
    <w:embedRegular r:id="rId4" w:fontKey="{2CB00A24-B96A-434F-B897-7D11636EAB27}"/>
  </w:font>
  <w:font w:name="楷体_GB2312">
    <w:altName w:val="楷体"/>
    <w:panose1 w:val="02010609030101010101"/>
    <w:charset w:val="86"/>
    <w:family w:val="auto"/>
    <w:pitch w:val="default"/>
    <w:sig w:usb0="00000000" w:usb1="00000000" w:usb2="00000000" w:usb3="00000000" w:csb0="00040000" w:csb1="00000000"/>
    <w:embedRegular r:id="rId5" w:fontKey="{5DFFC9A8-826F-4E7F-858E-00A4F99952BD}"/>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embedRegular r:id="rId6" w:fontKey="{4F327F09-3F1C-4BB3-9BD4-BDDA24E401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365806"/>
    <w:rsid w:val="0AC319AC"/>
    <w:rsid w:val="0F5E2B9C"/>
    <w:rsid w:val="0F7F3A2A"/>
    <w:rsid w:val="0FCAD5FD"/>
    <w:rsid w:val="10A047C3"/>
    <w:rsid w:val="12566446"/>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5D4327F"/>
    <w:rsid w:val="273A1534"/>
    <w:rsid w:val="27EF5ADE"/>
    <w:rsid w:val="27FB4DFE"/>
    <w:rsid w:val="292BBD26"/>
    <w:rsid w:val="29447E57"/>
    <w:rsid w:val="2A75E0DA"/>
    <w:rsid w:val="2C25619F"/>
    <w:rsid w:val="2C335417"/>
    <w:rsid w:val="2D2F22EB"/>
    <w:rsid w:val="2DBF1862"/>
    <w:rsid w:val="2DE71976"/>
    <w:rsid w:val="2E7BB22E"/>
    <w:rsid w:val="2ED5C25D"/>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2083BED"/>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8E00CC3"/>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6C67529"/>
    <w:rsid w:val="671013B3"/>
    <w:rsid w:val="677E777D"/>
    <w:rsid w:val="67BB4BB4"/>
    <w:rsid w:val="68BF6F8E"/>
    <w:rsid w:val="692176FC"/>
    <w:rsid w:val="6953D380"/>
    <w:rsid w:val="696BCE12"/>
    <w:rsid w:val="6981558F"/>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D33CC8"/>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7D642A"/>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3561</Words>
  <Characters>4266</Characters>
  <Lines>38</Lines>
  <Paragraphs>10</Paragraphs>
  <TotalTime>0</TotalTime>
  <ScaleCrop>false</ScaleCrop>
  <LinksUpToDate>false</LinksUpToDate>
  <CharactersWithSpaces>4329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2025-06-17T07:18:30Z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