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四川省农村生活污水治理“千村示范工程”以奖代补资金管理办法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总则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tabs>
          <w:tab w:val="left" w:pos="5245"/>
        </w:tabs>
        <w:spacing w:line="600" w:lineRule="exact"/>
        <w:ind w:firstLine="643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为规范和加强农村生活污水治理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千村示范工程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以奖代补资金分配、使用和管理，提高财政资金使用效益，根据《中华人民共和国预算法》《四川省农村生活污水治理五年实施方案》等有关规定，制定本办法。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tabs>
          <w:tab w:val="left" w:pos="5245"/>
        </w:tabs>
        <w:spacing w:line="600" w:lineRule="exact"/>
        <w:ind w:firstLine="643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本办法所称农村生活污水治理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千村示范工程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以奖代补资金（以下简称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奖补资金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），是指省级财政一般公共预算安排，用于支持农村生活污水治理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千村示范工程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实施的奖励性资金。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奖补资金管理的基本原则</w:t>
      </w:r>
      <w:r>
        <w:rPr>
          <w:rFonts w:ascii="仿宋_GB2312" w:hAnsi="Times New Roman" w:eastAsia="仿宋_GB2312" w:cs="仿宋_GB2312"/>
          <w:sz w:val="32"/>
          <w:szCs w:val="32"/>
        </w:rPr>
        <w:t>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突出重点、分类支持。科学组织实施年度农村生活污水治理“千村示范工程”，重点支持环境敏感区、污染严重区，优先支持岷江、沱江、嘉陵江、金沙江等长江重点流域和黄河流域的农村地区生活污水治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（二）市县为主、省级奖补。</w:t>
      </w:r>
      <w:r>
        <w:rPr>
          <w:rFonts w:hint="eastAsia" w:ascii="仿宋_GB2312" w:hAnsi="仿宋_GB2312" w:eastAsia="仿宋_GB2312" w:cs="仿宋_GB2312"/>
          <w:sz w:val="32"/>
          <w:szCs w:val="32"/>
        </w:rPr>
        <w:t>市县人民政府是“千村示范工程”的责任主体，</w:t>
      </w:r>
      <w:r>
        <w:rPr>
          <w:rFonts w:hint="eastAsia" w:ascii="仿宋_GB2312" w:hAnsi="Times New Roman" w:eastAsia="仿宋_GB2312" w:cs="仿宋_GB2312"/>
          <w:sz w:val="32"/>
          <w:szCs w:val="32"/>
        </w:rPr>
        <w:t>工程建设及后期运维投资以市县为主，奖补资金发挥引导功能，对实施“千村示范工程”的市县人民政府给予奖补支持。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（三）公平合理、注重绩效。奖补资金根据市县“千村示范工程”重点任务和任务量等分配，体现公平合理。对开展“千村示范工程”工作贡献大、任务完成好的市县予以适当倾斜。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资金分配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奖补资金按照因素法分配，选取整治村数量和绩效评价结果为分配因素，权重分别为</w:t>
      </w:r>
      <w:r>
        <w:rPr>
          <w:rFonts w:ascii="仿宋_GB2312" w:hAnsi="Times New Roman" w:eastAsia="仿宋_GB2312" w:cs="仿宋_GB2312"/>
          <w:sz w:val="32"/>
          <w:szCs w:val="32"/>
        </w:rPr>
        <w:t>70%</w:t>
      </w:r>
      <w:r>
        <w:rPr>
          <w:rFonts w:hint="eastAsia" w:ascii="仿宋_GB2312" w:hAnsi="Times New Roman" w:eastAsia="仿宋_GB2312" w:cs="仿宋_GB2312"/>
          <w:sz w:val="32"/>
          <w:szCs w:val="32"/>
        </w:rPr>
        <w:t>和</w:t>
      </w:r>
      <w:r>
        <w:rPr>
          <w:rFonts w:ascii="仿宋_GB2312" w:hAnsi="Times New Roman" w:eastAsia="仿宋_GB2312" w:cs="仿宋_GB2312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生态环境厅每年向各市县下达年度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千村示范工程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整治村数量，明确年度目标任务。生态环境厅会同省发改委、财政厅组织开展绩效评价，将评价结果作为次年资金分配的依据。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奖补资金分配公式：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（一）整治村数量，系数设定为</w:t>
      </w:r>
      <w:r>
        <w:rPr>
          <w:rFonts w:ascii="仿宋_GB2312" w:hAnsi="Times New Roman" w:eastAsia="仿宋_GB2312" w:cs="仿宋_GB2312"/>
          <w:sz w:val="32"/>
          <w:szCs w:val="32"/>
        </w:rPr>
        <w:t>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1</w:t>
      </w:r>
      <w:r>
        <w:rPr>
          <w:rFonts w:ascii="仿宋_GB2312" w:hAnsi="Times New Roman" w:eastAsia="仿宋_GB2312" w:cs="仿宋_GB2312"/>
          <w:sz w:val="32"/>
          <w:szCs w:val="32"/>
        </w:rPr>
        <w:t>=</w:t>
      </w:r>
      <w:r>
        <w:rPr>
          <w:rFonts w:hint="eastAsia" w:ascii="仿宋_GB2312" w:hAnsi="Times New Roman" w:eastAsia="仿宋_GB2312" w:cs="仿宋_GB2312"/>
          <w:sz w:val="32"/>
          <w:szCs w:val="32"/>
        </w:rPr>
        <w:t>各市县年度整治村总数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全省年度任务数×</w:t>
      </w:r>
      <w:r>
        <w:rPr>
          <w:rFonts w:ascii="仿宋_GB2312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（二）绩效评价结果，系数设定为</w:t>
      </w:r>
      <w:r>
        <w:rPr>
          <w:rFonts w:ascii="仿宋_GB2312" w:hAnsi="Times New Roman" w:eastAsia="仿宋_GB2312" w:cs="仿宋_GB2312"/>
          <w:sz w:val="32"/>
          <w:szCs w:val="32"/>
        </w:rPr>
        <w:t>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ascii="仿宋_GB2312" w:hAnsi="Times New Roman" w:eastAsia="仿宋_GB2312" w:cs="仿宋_GB2312"/>
          <w:sz w:val="32"/>
          <w:szCs w:val="32"/>
        </w:rPr>
        <w:t>=</w:t>
      </w:r>
      <w:r>
        <w:rPr>
          <w:rFonts w:hint="eastAsia" w:ascii="仿宋_GB2312" w:hAnsi="Times New Roman" w:eastAsia="仿宋_GB2312" w:cs="仿宋_GB2312"/>
          <w:sz w:val="32"/>
          <w:szCs w:val="32"/>
        </w:rPr>
        <w:t>各市县年度绩效评价得分</w:t>
      </w:r>
      <w:r>
        <w:rPr>
          <w:rFonts w:ascii="仿宋_GB2312" w:hAnsi="Times New Roman" w:eastAsia="仿宋_GB2312" w:cs="仿宋_GB2312"/>
          <w:sz w:val="32"/>
          <w:szCs w:val="32"/>
        </w:rPr>
        <w:t>/</w:t>
      </w:r>
      <w:r>
        <w:rPr>
          <w:rFonts w:hint="eastAsia" w:ascii="仿宋_GB2312" w:hAnsi="Times New Roman" w:eastAsia="仿宋_GB2312" w:cs="仿宋_GB2312"/>
          <w:sz w:val="32"/>
          <w:szCs w:val="32"/>
        </w:rPr>
        <w:t>全省各市县年度绩效评价得分数之和×</w:t>
      </w:r>
      <w:r>
        <w:rPr>
          <w:rFonts w:ascii="仿宋_GB2312" w:hAnsi="Times New Roman" w:eastAsia="仿宋_GB2312" w:cs="仿宋_GB2312"/>
          <w:sz w:val="32"/>
          <w:szCs w:val="32"/>
        </w:rPr>
        <w:t>100%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（三）某市县奖补资金分配额度</w:t>
      </w:r>
      <w:r>
        <w:rPr>
          <w:rFonts w:ascii="仿宋_GB2312" w:hAnsi="Times New Roman" w:eastAsia="仿宋_GB2312" w:cs="仿宋_GB2312"/>
          <w:sz w:val="32"/>
          <w:szCs w:val="32"/>
        </w:rPr>
        <w:t>=</w:t>
      </w:r>
      <w:r>
        <w:rPr>
          <w:rFonts w:hint="eastAsia" w:ascii="仿宋_GB2312" w:hAnsi="Times New Roman" w:eastAsia="仿宋_GB2312" w:cs="仿宋_GB2312"/>
          <w:sz w:val="32"/>
          <w:szCs w:val="32"/>
        </w:rPr>
        <w:t>年度奖补资金总额×（</w:t>
      </w:r>
      <w:r>
        <w:rPr>
          <w:rFonts w:ascii="仿宋_GB2312" w:hAnsi="Times New Roman" w:eastAsia="仿宋_GB2312" w:cs="仿宋_GB2312"/>
          <w:sz w:val="32"/>
          <w:szCs w:val="32"/>
        </w:rPr>
        <w:t>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</w:rPr>
        <w:t>×</w:t>
      </w:r>
      <w:r>
        <w:rPr>
          <w:rFonts w:ascii="仿宋_GB2312" w:hAnsi="Times New Roman" w:eastAsia="仿宋_GB2312" w:cs="仿宋_GB2312"/>
          <w:sz w:val="32"/>
          <w:szCs w:val="32"/>
        </w:rPr>
        <w:t>70%+K</w:t>
      </w:r>
      <w:r>
        <w:rPr>
          <w:rFonts w:ascii="仿宋_GB2312" w:hAnsi="Times New Roman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Times New Roman" w:eastAsia="仿宋_GB2312" w:cs="仿宋_GB2312"/>
          <w:sz w:val="32"/>
          <w:szCs w:val="32"/>
        </w:rPr>
        <w:t>×</w:t>
      </w:r>
      <w:r>
        <w:rPr>
          <w:rFonts w:ascii="仿宋_GB2312" w:hAnsi="Times New Roman" w:eastAsia="仿宋_GB2312" w:cs="仿宋_GB2312"/>
          <w:sz w:val="32"/>
          <w:szCs w:val="32"/>
        </w:rPr>
        <w:t>30%</w:t>
      </w:r>
      <w:r>
        <w:rPr>
          <w:rFonts w:hint="eastAsia" w:ascii="仿宋_GB2312" w:hAnsi="Times New Roman" w:eastAsia="仿宋_GB2312" w:cs="仿宋_GB2312"/>
          <w:sz w:val="32"/>
          <w:szCs w:val="32"/>
        </w:rPr>
        <w:t>）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left="105" w:firstLine="482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生态环境厅会同省发改委、财政厅制定奖补资金分配方案，报省政府审批后下达资金。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使用管理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按照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县申报、市审查、省备案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的方式，确定支持对象，具体程序为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: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tabs>
          <w:tab w:val="left" w:pos="5245"/>
        </w:tabs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（一）县申报。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县（市、区）生态环境、发改、财政部门择优选取</w:t>
      </w:r>
      <w:r>
        <w:rPr>
          <w:rFonts w:hint="eastAsia" w:ascii="仿宋_GB2312" w:hAnsi="Times New Roman" w:eastAsia="仿宋_GB2312" w:cs="仿宋_GB2312"/>
          <w:sz w:val="32"/>
          <w:szCs w:val="32"/>
        </w:rPr>
        <w:t>本辖区内符合申报条件、前期工作成熟的行政村，编制县级年度“千村示范工程”实施方案，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经同级人民政府批复后向市（州）生态环境、发改、财政局申报。方案中包含的</w:t>
      </w:r>
      <w:r>
        <w:rPr>
          <w:rFonts w:hint="eastAsia" w:ascii="仿宋_GB2312" w:hAnsi="Times New Roman" w:eastAsia="仿宋_GB2312" w:cs="仿宋_GB2312"/>
          <w:sz w:val="32"/>
          <w:szCs w:val="32"/>
        </w:rPr>
        <w:t>“千村示范工程”整治村数量不得少于省级下达的年度目标任务。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（二）市审查。市（州）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生态环境、发改、财政部门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围绕项目实施的重要性和必要性、项目实施基础条件、前期工作筹备情况、地方资金筹措力度、运营维护方式等，对县（市、区）申报的县级年度“千村示范工程”实施方案组织审查。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tabs>
          <w:tab w:val="left" w:pos="5245"/>
        </w:tabs>
        <w:spacing w:line="600" w:lineRule="exact"/>
        <w:ind w:firstLine="64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（三）省备案。各市（州）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生态环境、发改、财政部门</w:t>
      </w:r>
      <w:r>
        <w:rPr>
          <w:rFonts w:hint="eastAsia" w:ascii="仿宋_GB2312" w:hAnsi="Times New Roman" w:eastAsia="仿宋_GB2312" w:cs="仿宋_GB2312"/>
          <w:sz w:val="32"/>
          <w:szCs w:val="32"/>
        </w:rPr>
        <w:t>通过“四川省环境保护专项资金项目管理系统”，将通过审查的年度“千村示范工程”实施方案报生态环境厅、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省发改委、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财政厅备案。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奖补资金由市县生态环境、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财政部门按照通过审查的“千村示范工程”年度实施方案组织实施。主要用于：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（一）农村生活污水治理规划编制和研究；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（二）农村生活污水治理基础设施、配套设施建设；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（三）农村生活污水治理配套设备购置及运行维护；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（四）直接为农村生活污水治理服务的其他项目；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tabs>
          <w:tab w:val="left" w:pos="5245"/>
        </w:tabs>
        <w:spacing w:line="600" w:lineRule="exact"/>
        <w:ind w:firstLine="640"/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（五）省级批准的与农村生活污水治理密切相关的其他支出事项。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奖补资金使用和管理情况应当按照政务公开要求做好信息公开。省、市、县生态环境、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财政部门公开资金安排情况，整治村公开资金使用和项目实施情况。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绩效评价和监督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第十一条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财政厅会同生态环境厅、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省发改委</w:t>
      </w:r>
      <w:r>
        <w:rPr>
          <w:rFonts w:hint="eastAsia" w:ascii="仿宋_GB2312" w:hAnsi="Times New Roman" w:eastAsia="仿宋_GB2312" w:cs="仿宋_GB2312"/>
          <w:sz w:val="32"/>
          <w:szCs w:val="32"/>
        </w:rPr>
        <w:t>研究制定绩效评价办法和体系，每年组织专家或委托第三方专业机构对“千村示范工程”实施情况开展绩效评价，重点评价资金项目组织管理、工程建设、运维机制、投融资模式等。绩效评价结果作为下一年度预算分配的重要依据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第十二条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财政厅、生态环境厅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省发改委不定期对奖补资金的使用和项目实施情况进行监督，对发现问题的市县给予通报批评、约谈。情节严重的，调减、收回市县奖补资金或取消次年支持资格。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第十三条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各市县财政部门应加强对奖补资金使用的监督管理，指导实施单位开展预算绩效管理。生态环境、发改部门应加强对奖补资金项目实施情况的监督管理，指导实施单位加快推进项目建设。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第十四条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实施单位应建立健全内部控制制度，加强财务和档案管理，严格控制开支范围，自觉接受监督检查。对发现问题的，按照《中华人民共和国预算法》《财政违法行为处罚处分条例》等有关规定追究相应责任。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第十五条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有关部门及其工作人员在奖补资金的分配、使用、管理等工作中违反本规定的，以及存在滥用职权，玩忽职守、徇私舞弊等违法违纪行为的，按照《中华人民共和国预算法》《中华人民共和国公务员法》《中华人民共和国行政监察法》《财政违法行为处罚处分条例》等国家有关规定追究相应责任，涉嫌犯罪的，移送司法机关治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ab/>
      </w:r>
      <w:r>
        <w:rPr>
          <w:rFonts w:hint="eastAsia" w:ascii="Times New Roman" w:hAnsi="Times New Roman" w:eastAsia="黑体" w:cs="黑体"/>
          <w:sz w:val="32"/>
          <w:szCs w:val="32"/>
        </w:rPr>
        <w:t>则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第十六条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本办法由财政厅、生态环境厅、省发改委负责解释。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000000" w:fill="FFFFFF"/>
        <w:spacing w:line="600" w:lineRule="exact"/>
        <w:ind w:firstLine="643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第十七条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</w:rPr>
        <w:t>本办法自发布之日起执行，有效期</w:t>
      </w:r>
      <w:r>
        <w:rPr>
          <w:rFonts w:ascii="仿宋_GB2312" w:hAnsi="Times New Roman" w:eastAsia="仿宋_GB2312" w:cs="仿宋_GB2312"/>
          <w:sz w:val="32"/>
          <w:szCs w:val="32"/>
        </w:rPr>
        <w:t>4</w:t>
      </w:r>
      <w:r>
        <w:rPr>
          <w:rFonts w:hint="eastAsia" w:ascii="仿宋_GB2312" w:hAnsi="Times New Roman" w:eastAsia="仿宋_GB2312" w:cs="仿宋_GB2312"/>
          <w:sz w:val="32"/>
          <w:szCs w:val="32"/>
        </w:rPr>
        <w:t>年。同时，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《四川省农村生活污水治理“千村示范工程”以奖代补资金管理办法》（川财投〔</w:t>
      </w:r>
      <w:r>
        <w:rPr>
          <w:rFonts w:ascii="仿宋_GB2312" w:hAnsi="仿宋_GB2312" w:eastAsia="仿宋_GB2312" w:cs="仿宋_GB2312"/>
          <w:sz w:val="32"/>
          <w:szCs w:val="32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号）文件作废。</w:t>
      </w:r>
    </w:p>
    <w:sectPr>
      <w:footerReference r:id="rId3" w:type="default"/>
      <w:footerReference r:id="rId4" w:type="even"/>
      <w:endnotePr>
        <w:numFmt w:val="decimal"/>
      </w:endnotePr>
      <w:pgSz w:w="11906" w:h="16838"/>
      <w:pgMar w:top="2098" w:right="1588" w:bottom="1247" w:left="1588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210" w:right="21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\* Arabic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5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 xml:space="preserve"> —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210" w:right="2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\* Arabic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6</w:t>
    </w:r>
    <w:r>
      <w:rPr>
        <w:rFonts w:ascii="宋体" w:hAnsi="宋体" w:eastAsia="宋体" w:cs="宋体"/>
        <w:sz w:val="28"/>
        <w:szCs w:val="28"/>
      </w:rPr>
      <w:fldChar w:fldCharType="end"/>
    </w:r>
    <w:r>
      <w:rPr>
        <w:rFonts w:ascii="宋体" w:hAnsi="宋体" w:eastAsia="宋体" w:cs="宋体"/>
        <w:sz w:val="28"/>
        <w:szCs w:val="28"/>
      </w:rPr>
      <w:t xml:space="preserve"> —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0B"/>
    <w:rsid w:val="000828D9"/>
    <w:rsid w:val="00087BE7"/>
    <w:rsid w:val="00093395"/>
    <w:rsid w:val="0009356B"/>
    <w:rsid w:val="000E3E6C"/>
    <w:rsid w:val="000F4812"/>
    <w:rsid w:val="001320D5"/>
    <w:rsid w:val="0014509A"/>
    <w:rsid w:val="00162F4A"/>
    <w:rsid w:val="00187BDD"/>
    <w:rsid w:val="001A767D"/>
    <w:rsid w:val="001C558D"/>
    <w:rsid w:val="0025330B"/>
    <w:rsid w:val="002551B6"/>
    <w:rsid w:val="002E2174"/>
    <w:rsid w:val="00396DB7"/>
    <w:rsid w:val="003D7011"/>
    <w:rsid w:val="00486D46"/>
    <w:rsid w:val="00487928"/>
    <w:rsid w:val="004A08C2"/>
    <w:rsid w:val="004A72F2"/>
    <w:rsid w:val="004E55A8"/>
    <w:rsid w:val="004E5778"/>
    <w:rsid w:val="004F3B08"/>
    <w:rsid w:val="00501A4E"/>
    <w:rsid w:val="00543F5C"/>
    <w:rsid w:val="005801CB"/>
    <w:rsid w:val="005909BB"/>
    <w:rsid w:val="00593819"/>
    <w:rsid w:val="005A3D8C"/>
    <w:rsid w:val="005B4BBB"/>
    <w:rsid w:val="005E75D9"/>
    <w:rsid w:val="00650F6E"/>
    <w:rsid w:val="006811C4"/>
    <w:rsid w:val="006C0937"/>
    <w:rsid w:val="007571F0"/>
    <w:rsid w:val="00796A8C"/>
    <w:rsid w:val="007A2B47"/>
    <w:rsid w:val="007A5980"/>
    <w:rsid w:val="007C3124"/>
    <w:rsid w:val="00815EA7"/>
    <w:rsid w:val="00840A53"/>
    <w:rsid w:val="008449AE"/>
    <w:rsid w:val="0089322B"/>
    <w:rsid w:val="008C354F"/>
    <w:rsid w:val="008D2BD9"/>
    <w:rsid w:val="009004AD"/>
    <w:rsid w:val="00907494"/>
    <w:rsid w:val="00915D8E"/>
    <w:rsid w:val="00980CA1"/>
    <w:rsid w:val="009B701F"/>
    <w:rsid w:val="009E5006"/>
    <w:rsid w:val="00A00B97"/>
    <w:rsid w:val="00A148B1"/>
    <w:rsid w:val="00A24189"/>
    <w:rsid w:val="00A300EC"/>
    <w:rsid w:val="00A46A25"/>
    <w:rsid w:val="00A511AA"/>
    <w:rsid w:val="00A60349"/>
    <w:rsid w:val="00AE216E"/>
    <w:rsid w:val="00B02080"/>
    <w:rsid w:val="00BD7E43"/>
    <w:rsid w:val="00BE6762"/>
    <w:rsid w:val="00BF6C77"/>
    <w:rsid w:val="00C21489"/>
    <w:rsid w:val="00C5247F"/>
    <w:rsid w:val="00C97197"/>
    <w:rsid w:val="00CC0372"/>
    <w:rsid w:val="00D24140"/>
    <w:rsid w:val="00D356AD"/>
    <w:rsid w:val="00DC3F2E"/>
    <w:rsid w:val="00DE47E1"/>
    <w:rsid w:val="00EB1ECF"/>
    <w:rsid w:val="00ED4A51"/>
    <w:rsid w:val="00EE72B1"/>
    <w:rsid w:val="00F36017"/>
    <w:rsid w:val="00F67C8E"/>
    <w:rsid w:val="00FA6FD5"/>
    <w:rsid w:val="04105721"/>
    <w:rsid w:val="116C2F74"/>
    <w:rsid w:val="23F52503"/>
    <w:rsid w:val="2B7B70C7"/>
    <w:rsid w:val="59E67D2B"/>
    <w:rsid w:val="7546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等线" w:hAnsi="等线" w:eastAsia="等线" w:cs="等线"/>
      <w:kern w:val="1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ind w:left="79"/>
      <w:jc w:val="left"/>
      <w:outlineLvl w:val="0"/>
    </w:pPr>
    <w:rPr>
      <w:rFonts w:ascii="宋体" w:hAnsi="宋体" w:eastAsia="宋体" w:cs="宋体"/>
      <w:sz w:val="39"/>
      <w:szCs w:val="39"/>
    </w:rPr>
  </w:style>
  <w:style w:type="paragraph" w:styleId="3">
    <w:name w:val="heading 2"/>
    <w:basedOn w:val="1"/>
    <w:next w:val="1"/>
    <w:link w:val="12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jc w:val="left"/>
      <w:outlineLvl w:val="1"/>
    </w:pPr>
    <w:rPr>
      <w:rFonts w:ascii="宋体" w:hAnsi="宋体" w:eastAsia="宋体" w:cs="宋体"/>
      <w:sz w:val="38"/>
      <w:szCs w:val="38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jc w:val="left"/>
    </w:pPr>
    <w:rPr>
      <w:rFonts w:ascii="宋体" w:hAnsi="宋体" w:eastAsia="宋体" w:cs="宋体"/>
      <w:sz w:val="28"/>
      <w:szCs w:val="28"/>
    </w:r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11">
    <w:name w:val="Heading 1 Char"/>
    <w:basedOn w:val="10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12">
    <w:name w:val="Heading 2 Char"/>
    <w:basedOn w:val="10"/>
    <w:link w:val="3"/>
    <w:semiHidden/>
    <w:qFormat/>
    <w:locked/>
    <w:uiPriority w:val="99"/>
    <w:rPr>
      <w:rFonts w:ascii="Cambria" w:hAnsi="Cambria" w:eastAsia="宋体" w:cs="Cambria"/>
      <w:b/>
      <w:bCs/>
      <w:kern w:val="1"/>
      <w:sz w:val="32"/>
      <w:szCs w:val="32"/>
    </w:rPr>
  </w:style>
  <w:style w:type="character" w:customStyle="1" w:styleId="13">
    <w:name w:val="Heading 3 Char"/>
    <w:basedOn w:val="10"/>
    <w:link w:val="4"/>
    <w:semiHidden/>
    <w:qFormat/>
    <w:locked/>
    <w:uiPriority w:val="99"/>
    <w:rPr>
      <w:b/>
      <w:bCs/>
      <w:kern w:val="1"/>
      <w:sz w:val="32"/>
      <w:szCs w:val="32"/>
    </w:rPr>
  </w:style>
  <w:style w:type="character" w:customStyle="1" w:styleId="14">
    <w:name w:val="Body Text Char"/>
    <w:basedOn w:val="10"/>
    <w:link w:val="5"/>
    <w:semiHidden/>
    <w:qFormat/>
    <w:locked/>
    <w:uiPriority w:val="99"/>
    <w:rPr>
      <w:kern w:val="1"/>
      <w:sz w:val="21"/>
      <w:szCs w:val="21"/>
    </w:rPr>
  </w:style>
  <w:style w:type="character" w:customStyle="1" w:styleId="15">
    <w:name w:val="Balloon Text Char"/>
    <w:basedOn w:val="10"/>
    <w:link w:val="6"/>
    <w:semiHidden/>
    <w:qFormat/>
    <w:locked/>
    <w:uiPriority w:val="99"/>
    <w:rPr>
      <w:kern w:val="1"/>
      <w:sz w:val="2"/>
      <w:szCs w:val="2"/>
    </w:rPr>
  </w:style>
  <w:style w:type="character" w:customStyle="1" w:styleId="16">
    <w:name w:val="Footer Char"/>
    <w:basedOn w:val="10"/>
    <w:link w:val="7"/>
    <w:semiHidden/>
    <w:qFormat/>
    <w:locked/>
    <w:uiPriority w:val="99"/>
    <w:rPr>
      <w:kern w:val="1"/>
      <w:sz w:val="18"/>
      <w:szCs w:val="18"/>
    </w:rPr>
  </w:style>
  <w:style w:type="character" w:customStyle="1" w:styleId="17">
    <w:name w:val="Header Char"/>
    <w:basedOn w:val="10"/>
    <w:link w:val="8"/>
    <w:semiHidden/>
    <w:qFormat/>
    <w:locked/>
    <w:uiPriority w:val="99"/>
    <w:rPr>
      <w:kern w:val="1"/>
      <w:sz w:val="18"/>
      <w:szCs w:val="18"/>
    </w:rPr>
  </w:style>
  <w:style w:type="paragraph" w:styleId="18">
    <w:name w:val="List Paragraph"/>
    <w:basedOn w:val="1"/>
    <w:qFormat/>
    <w:uiPriority w:val="99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ind w:firstLine="420"/>
    </w:pPr>
  </w:style>
  <w:style w:type="character" w:customStyle="1" w:styleId="19">
    <w:name w:val="页眉 字符"/>
    <w:qFormat/>
    <w:uiPriority w:val="99"/>
    <w:rPr>
      <w:sz w:val="18"/>
      <w:szCs w:val="18"/>
    </w:rPr>
  </w:style>
  <w:style w:type="character" w:customStyle="1" w:styleId="20">
    <w:name w:val="页脚 字符"/>
    <w:uiPriority w:val="99"/>
    <w:rPr>
      <w:sz w:val="18"/>
      <w:szCs w:val="18"/>
    </w:rPr>
  </w:style>
  <w:style w:type="character" w:customStyle="1" w:styleId="21">
    <w:name w:val="标题 1 字符"/>
    <w:uiPriority w:val="99"/>
    <w:rPr>
      <w:rFonts w:ascii="宋体" w:hAnsi="宋体" w:eastAsia="宋体" w:cs="宋体"/>
      <w:kern w:val="0"/>
      <w:sz w:val="39"/>
      <w:szCs w:val="39"/>
    </w:rPr>
  </w:style>
  <w:style w:type="character" w:customStyle="1" w:styleId="22">
    <w:name w:val="标题 2 字符"/>
    <w:qFormat/>
    <w:uiPriority w:val="99"/>
    <w:rPr>
      <w:rFonts w:ascii="宋体" w:hAnsi="宋体" w:eastAsia="宋体" w:cs="宋体"/>
      <w:kern w:val="0"/>
      <w:sz w:val="38"/>
      <w:szCs w:val="38"/>
    </w:rPr>
  </w:style>
  <w:style w:type="character" w:customStyle="1" w:styleId="23">
    <w:name w:val="正文文本 字符"/>
    <w:qFormat/>
    <w:uiPriority w:val="99"/>
    <w:rPr>
      <w:rFonts w:ascii="宋体" w:hAnsi="宋体" w:eastAsia="宋体" w:cs="宋体"/>
      <w:kern w:val="0"/>
      <w:sz w:val="28"/>
      <w:szCs w:val="28"/>
    </w:rPr>
  </w:style>
  <w:style w:type="character" w:customStyle="1" w:styleId="24">
    <w:name w:val="批注框文本 字符"/>
    <w:qFormat/>
    <w:uiPriority w:val="99"/>
    <w:rPr>
      <w:sz w:val="18"/>
      <w:szCs w:val="18"/>
    </w:rPr>
  </w:style>
  <w:style w:type="character" w:customStyle="1" w:styleId="25">
    <w:name w:val="标题 3 字符"/>
    <w:qFormat/>
    <w:uiPriority w:val="99"/>
    <w:rPr>
      <w:b/>
      <w:bCs/>
      <w:sz w:val="32"/>
      <w:szCs w:val="32"/>
    </w:rPr>
  </w:style>
  <w:style w:type="paragraph" w:customStyle="1" w:styleId="26">
    <w:name w:val="Char Char Char Char Char Char Char Char Char Char Char Char Char Char1 Char Char Char Char"/>
    <w:basedOn w:val="1"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358</Words>
  <Characters>2045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2019-11-11T01:19:00Z</dcterms:created>
  <dc:creator>王咸钟</dc:creator>
  <cp:lastModifiedBy>兰冲</cp:lastModifiedBy>
  <cp:lastPrinted>2020-01-21T07:27:00Z</cp:lastPrinted>
  <dcterms:modified xsi:type="dcterms:W3CDTF">2020-03-04T01:06:54Z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